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51" w:rsidRPr="00492A78" w:rsidRDefault="00022CD0">
      <w:pPr>
        <w:pStyle w:val="Ttulo1"/>
        <w:ind w:left="1084" w:right="1051"/>
      </w:pPr>
      <w:r w:rsidRPr="00492A78">
        <w:t>Notas Explicativas do Balanço Orçamentário</w:t>
      </w:r>
    </w:p>
    <w:p w:rsidR="00824C51" w:rsidRPr="00492A78" w:rsidRDefault="00824C51">
      <w:pPr>
        <w:pStyle w:val="Corpodetexto"/>
        <w:spacing w:before="6"/>
        <w:rPr>
          <w:b/>
          <w:sz w:val="23"/>
        </w:rPr>
      </w:pPr>
    </w:p>
    <w:p w:rsidR="00824C51" w:rsidRPr="00492A78" w:rsidRDefault="00022CD0">
      <w:pPr>
        <w:pStyle w:val="Corpodetexto"/>
        <w:spacing w:before="1"/>
        <w:ind w:left="162" w:right="120"/>
        <w:jc w:val="both"/>
      </w:pPr>
      <w:r w:rsidRPr="00492A78">
        <w:rPr>
          <w:b/>
        </w:rPr>
        <w:t xml:space="preserve">Nota 1 - Contexto operacional: </w:t>
      </w:r>
      <w:r w:rsidRPr="00492A78">
        <w:t>os dados apresentados compreendem os órgãos da Administração Direta do Município, no que tange à previsão e execução das receitas e despesas orçamentárias, cujo detalhamento atende as especificações da Portaria Interministerial STN/SOF n. º 163/2001 e respectivas alterações. Foram também observados os detalhamentos estabelecidos pelo Tribunal de Contas do Estado.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pStyle w:val="Corpodetexto"/>
        <w:ind w:left="162" w:right="122"/>
        <w:jc w:val="both"/>
      </w:pPr>
      <w:r w:rsidRPr="00492A78">
        <w:rPr>
          <w:b/>
        </w:rPr>
        <w:t xml:space="preserve">Nota 2 - Critério de apropriação: </w:t>
      </w:r>
      <w:r w:rsidRPr="00492A78">
        <w:t>considerou como realizadas as despesas legalmente empenhadas e as receitas efetivamente arrecadadas no exercício, nos termos do art. 35 da Lei Federal nº 4.320/64.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pStyle w:val="Corpodetexto"/>
        <w:ind w:left="162" w:right="118"/>
        <w:jc w:val="both"/>
      </w:pPr>
      <w:r w:rsidRPr="00492A78">
        <w:rPr>
          <w:b/>
        </w:rPr>
        <w:t xml:space="preserve">Nota 3 - Deduções da Receita Orçamentária: </w:t>
      </w:r>
      <w:r w:rsidRPr="00492A78">
        <w:t xml:space="preserve">o valor informado na coluna “Receitas Realizadas” </w:t>
      </w:r>
      <w:r w:rsidRPr="00617D44">
        <w:t xml:space="preserve">apresenta a arrecadação líquida, ou seja, já consideradas as deduções da receita que, no exercício totalizaram R$ </w:t>
      </w:r>
      <w:r w:rsidR="00617D44" w:rsidRPr="00617D44">
        <w:t>3.288.958,78</w:t>
      </w:r>
      <w:r w:rsidR="00485E60" w:rsidRPr="00617D44">
        <w:t>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pStyle w:val="Corpodetexto"/>
        <w:spacing w:before="1"/>
        <w:ind w:left="162" w:right="119"/>
        <w:jc w:val="both"/>
      </w:pPr>
      <w:r w:rsidRPr="00492A78">
        <w:rPr>
          <w:b/>
        </w:rPr>
        <w:t xml:space="preserve">Nota 4 - Repasses Concedidos: </w:t>
      </w:r>
      <w:r w:rsidRPr="00492A78">
        <w:t>de acordo com a Portaria STN nº 339/2001, os</w:t>
      </w:r>
      <w:r w:rsidR="005920F8" w:rsidRPr="00492A78">
        <w:t xml:space="preserve"> </w:t>
      </w:r>
      <w:r w:rsidRPr="00492A78">
        <w:t>repasses financeiros pelo Poder Executivo ao Poder Legislativo, ao Regime Próprio de Previdência Social e aos órgãos da Administração Indireta, foram processados por meio de documentos próprios, sem a emissão de empenho, sendo que os registros contábeis das transferências financeiras concedidas e recebidas foram efetuados em contas contábeis específicas de resultado, que representem as variações passivas e ativas financeiras correspondentes, conforme o seguinte resumo:</w:t>
      </w:r>
    </w:p>
    <w:p w:rsidR="00824C51" w:rsidRPr="00492A78" w:rsidRDefault="00824C51">
      <w:pPr>
        <w:pStyle w:val="Corpodetexto"/>
      </w:pPr>
    </w:p>
    <w:p w:rsidR="00824C51" w:rsidRPr="00617D44" w:rsidRDefault="00022CD0">
      <w:pPr>
        <w:pStyle w:val="Corpodetexto"/>
        <w:ind w:left="162"/>
        <w:jc w:val="both"/>
      </w:pPr>
      <w:r w:rsidRPr="00617D44">
        <w:t>Repasses concedidos ao Poder Legislativo</w:t>
      </w:r>
      <w:r w:rsidR="00BC504C" w:rsidRPr="00617D44">
        <w:t>:</w:t>
      </w:r>
      <w:r w:rsidRPr="00617D44">
        <w:t xml:space="preserve"> </w:t>
      </w:r>
      <w:r w:rsidR="00BC504C" w:rsidRPr="00617D44">
        <w:tab/>
      </w:r>
      <w:r w:rsidR="00BC504C" w:rsidRPr="00617D44">
        <w:tab/>
      </w:r>
      <w:r w:rsidRPr="00617D44">
        <w:t xml:space="preserve">R$ </w:t>
      </w:r>
      <w:r w:rsidR="00BC504C" w:rsidRPr="00617D44">
        <w:t>1</w:t>
      </w:r>
      <w:r w:rsidR="00617D44" w:rsidRPr="00617D44">
        <w:t>.082.000,04</w:t>
      </w:r>
    </w:p>
    <w:p w:rsidR="00824C51" w:rsidRPr="00492A78" w:rsidRDefault="00022CD0">
      <w:pPr>
        <w:pStyle w:val="Ttulo1"/>
        <w:spacing w:before="5"/>
        <w:ind w:left="162"/>
        <w:jc w:val="both"/>
      </w:pPr>
      <w:r w:rsidRPr="00617D44">
        <w:t>Total dos rep</w:t>
      </w:r>
      <w:r w:rsidR="00BC504C" w:rsidRPr="00617D44">
        <w:t>asses concedidos:</w:t>
      </w:r>
      <w:r w:rsidR="00BC504C" w:rsidRPr="00617D44">
        <w:tab/>
      </w:r>
      <w:r w:rsidR="00BC504C" w:rsidRPr="00617D44">
        <w:tab/>
      </w:r>
      <w:r w:rsidR="00BC504C" w:rsidRPr="00617D44">
        <w:tab/>
      </w:r>
      <w:r w:rsidR="00BC504C" w:rsidRPr="00617D44">
        <w:tab/>
      </w:r>
      <w:r w:rsidR="00617D44" w:rsidRPr="00617D44">
        <w:t>R$ 1.082.000,04</w:t>
      </w:r>
    </w:p>
    <w:p w:rsidR="00824C51" w:rsidRPr="00492A78" w:rsidRDefault="00824C51">
      <w:pPr>
        <w:pStyle w:val="Corpodetexto"/>
        <w:spacing w:before="7"/>
        <w:rPr>
          <w:b/>
          <w:sz w:val="23"/>
        </w:rPr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 xml:space="preserve">Nota 5 - Utilização do Superávit Financeiro: </w:t>
      </w:r>
      <w:r w:rsidRPr="00492A78">
        <w:t xml:space="preserve">o quadro a seguir demonstra o valor do Superávit Financeiro apurado no exercício anterior e a sua utilização, durante o exercício financeiro de </w:t>
      </w:r>
      <w:r w:rsidR="00F97F2C">
        <w:t>2021</w:t>
      </w:r>
      <w:r w:rsidRPr="00492A78">
        <w:t xml:space="preserve"> como fonte de abertura para créditos adicionais. O total utilizado </w:t>
      </w:r>
      <w:r w:rsidRPr="00A933DD">
        <w:t xml:space="preserve">R$ </w:t>
      </w:r>
      <w:r w:rsidR="00C062D1" w:rsidRPr="00C062D1">
        <w:rPr>
          <w:rFonts w:eastAsiaTheme="minorHAnsi"/>
          <w:lang w:val="pt-BR" w:eastAsia="en-US" w:bidi="ar-SA"/>
        </w:rPr>
        <w:t>1.181.670,58</w:t>
      </w:r>
      <w:r w:rsidR="00C062D1">
        <w:rPr>
          <w:rFonts w:eastAsiaTheme="minorHAnsi"/>
          <w:lang w:val="pt-BR" w:eastAsia="en-US" w:bidi="ar-SA"/>
        </w:rPr>
        <w:t xml:space="preserve"> </w:t>
      </w:r>
      <w:r w:rsidRPr="00492A78">
        <w:t>contribuiu para a diferença observada entre a previsão atualizada da receita e a dotação atualizada.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pStyle w:val="Corpodetexto"/>
        <w:ind w:left="162" w:right="120"/>
        <w:jc w:val="both"/>
      </w:pPr>
      <w:r w:rsidRPr="00492A78">
        <w:rPr>
          <w:b/>
        </w:rPr>
        <w:t xml:space="preserve">Nota 6 - Restos a Pagar: </w:t>
      </w:r>
      <w:r w:rsidRPr="00492A78">
        <w:t xml:space="preserve">as despesas que foram empenhadas e não pagas até o último dia útil de </w:t>
      </w:r>
      <w:r w:rsidR="00F97F2C">
        <w:t>2021</w:t>
      </w:r>
      <w:r w:rsidRPr="00492A78">
        <w:t>, foram inscritas e escrituradas como Restos a Pagar Processados e Não Processados, em atendimento aos artigos 35, 36 e 92 da Lei nº 4.320/1964. Para fins de inscrição, foram observadas as recomendações da Instrução Normativa nº 12/2017, do Tribunal de Contas do Estado e os preceitos da Lei Complementar nº 101/2000.</w:t>
      </w:r>
    </w:p>
    <w:p w:rsidR="00824C51" w:rsidRPr="00492A78" w:rsidRDefault="00824C51">
      <w:pPr>
        <w:jc w:val="both"/>
        <w:sectPr w:rsidR="00824C51" w:rsidRPr="00492A78">
          <w:headerReference w:type="default" r:id="rId6"/>
          <w:footerReference w:type="default" r:id="rId7"/>
          <w:type w:val="continuous"/>
          <w:pgSz w:w="11910" w:h="16840"/>
          <w:pgMar w:top="1960" w:right="1580" w:bottom="1100" w:left="1540" w:header="532" w:footer="920" w:gutter="0"/>
          <w:cols w:space="720"/>
        </w:sectPr>
      </w:pPr>
    </w:p>
    <w:p w:rsidR="00824C51" w:rsidRPr="00492A78" w:rsidRDefault="00022CD0" w:rsidP="00A43971">
      <w:pPr>
        <w:pStyle w:val="Ttulo1"/>
        <w:ind w:left="162"/>
      </w:pPr>
      <w:r w:rsidRPr="00492A78">
        <w:lastRenderedPageBreak/>
        <w:t>Notas Explicativas do Balanço Financeiro</w:t>
      </w:r>
    </w:p>
    <w:p w:rsidR="00824C51" w:rsidRPr="00492A78" w:rsidRDefault="00824C51">
      <w:pPr>
        <w:pStyle w:val="Corpodetexto"/>
        <w:spacing w:before="6"/>
        <w:rPr>
          <w:b/>
          <w:sz w:val="23"/>
        </w:rPr>
      </w:pPr>
    </w:p>
    <w:p w:rsidR="00824C51" w:rsidRPr="00492A78" w:rsidRDefault="00022CD0">
      <w:pPr>
        <w:spacing w:before="1"/>
        <w:ind w:left="162" w:right="118"/>
        <w:jc w:val="both"/>
        <w:rPr>
          <w:sz w:val="24"/>
        </w:rPr>
      </w:pPr>
      <w:r w:rsidRPr="00492A78">
        <w:rPr>
          <w:b/>
          <w:sz w:val="24"/>
        </w:rPr>
        <w:t xml:space="preserve">Nota 1 - Receitas Orçamentárias: </w:t>
      </w:r>
      <w:r w:rsidRPr="00492A78">
        <w:rPr>
          <w:sz w:val="24"/>
        </w:rPr>
        <w:t xml:space="preserve">são apresentadas líquidas das deduções ocorridas. O detalhamento das deduções da receita orçamentária </w:t>
      </w:r>
      <w:r w:rsidRPr="00492A78">
        <w:rPr>
          <w:b/>
          <w:sz w:val="24"/>
        </w:rPr>
        <w:t xml:space="preserve">do exercício de </w:t>
      </w:r>
      <w:r w:rsidR="00F97F2C">
        <w:rPr>
          <w:b/>
          <w:sz w:val="24"/>
        </w:rPr>
        <w:t>2021</w:t>
      </w:r>
      <w:r w:rsidRPr="00492A78">
        <w:rPr>
          <w:b/>
          <w:sz w:val="24"/>
        </w:rPr>
        <w:t xml:space="preserve"> </w:t>
      </w:r>
      <w:r w:rsidRPr="00492A78">
        <w:rPr>
          <w:sz w:val="24"/>
        </w:rPr>
        <w:t>é apresentado no quadro a seguir:</w:t>
      </w:r>
    </w:p>
    <w:p w:rsidR="00824C51" w:rsidRPr="00492A78" w:rsidRDefault="00824C51">
      <w:pPr>
        <w:pStyle w:val="Corpodetexto"/>
        <w:spacing w:before="4"/>
        <w:rPr>
          <w:sz w:val="21"/>
        </w:rPr>
      </w:pPr>
    </w:p>
    <w:tbl>
      <w:tblPr>
        <w:tblStyle w:val="TableNormal"/>
        <w:tblW w:w="935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126"/>
      </w:tblGrid>
      <w:tr w:rsidR="00824C51" w:rsidRPr="00492A78" w:rsidTr="00A43971">
        <w:trPr>
          <w:trHeight w:val="452"/>
        </w:trPr>
        <w:tc>
          <w:tcPr>
            <w:tcW w:w="7230" w:type="dxa"/>
            <w:vAlign w:val="center"/>
          </w:tcPr>
          <w:p w:rsidR="00824C51" w:rsidRPr="00492A78" w:rsidRDefault="00022CD0" w:rsidP="00A43971">
            <w:pPr>
              <w:pStyle w:val="TableParagraph"/>
              <w:spacing w:line="221" w:lineRule="exact"/>
              <w:jc w:val="center"/>
              <w:rPr>
                <w:b/>
                <w:sz w:val="20"/>
              </w:rPr>
            </w:pPr>
            <w:r w:rsidRPr="00492A78">
              <w:rPr>
                <w:b/>
                <w:sz w:val="20"/>
              </w:rPr>
              <w:t>Natureza da Dedução de Receita</w:t>
            </w:r>
            <w:r w:rsidR="00A43971" w:rsidRPr="00492A78">
              <w:rPr>
                <w:b/>
                <w:sz w:val="20"/>
              </w:rPr>
              <w:t xml:space="preserve"> - </w:t>
            </w:r>
            <w:r w:rsidRPr="00492A78">
              <w:rPr>
                <w:b/>
                <w:sz w:val="20"/>
              </w:rPr>
              <w:t>Exercício Atual</w:t>
            </w:r>
          </w:p>
        </w:tc>
        <w:tc>
          <w:tcPr>
            <w:tcW w:w="2126" w:type="dxa"/>
            <w:vAlign w:val="center"/>
          </w:tcPr>
          <w:p w:rsidR="00824C51" w:rsidRPr="00492A78" w:rsidRDefault="00A43971" w:rsidP="00A43971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  <w:r w:rsidRPr="00492A78">
              <w:rPr>
                <w:b/>
                <w:sz w:val="18"/>
              </w:rPr>
              <w:t>Valor Dedução</w:t>
            </w:r>
          </w:p>
        </w:tc>
      </w:tr>
      <w:tr w:rsidR="00824C51" w:rsidRPr="00492A78" w:rsidTr="00A43971">
        <w:trPr>
          <w:trHeight w:val="183"/>
        </w:trPr>
        <w:tc>
          <w:tcPr>
            <w:tcW w:w="7230" w:type="dxa"/>
          </w:tcPr>
          <w:p w:rsidR="00824C51" w:rsidRPr="00492A78" w:rsidRDefault="00A6619A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492A78">
              <w:rPr>
                <w:sz w:val="16"/>
                <w:szCs w:val="16"/>
              </w:rPr>
              <w:t>9.1.1.0.0.00.0.0.00.00.00 - (R) DESCONTOS CONCEDIDOS</w:t>
            </w:r>
          </w:p>
        </w:tc>
        <w:tc>
          <w:tcPr>
            <w:tcW w:w="2126" w:type="dxa"/>
          </w:tcPr>
          <w:p w:rsidR="00824C51" w:rsidRPr="00492A78" w:rsidRDefault="00347969" w:rsidP="006B059E">
            <w:pPr>
              <w:pStyle w:val="TableParagraph"/>
              <w:spacing w:line="163" w:lineRule="exact"/>
              <w:ind w:left="238"/>
              <w:jc w:val="right"/>
              <w:rPr>
                <w:sz w:val="16"/>
                <w:szCs w:val="16"/>
              </w:rPr>
            </w:pPr>
            <w:r w:rsidRPr="00347969">
              <w:rPr>
                <w:sz w:val="16"/>
                <w:szCs w:val="16"/>
              </w:rPr>
              <w:t>44.850,42</w:t>
            </w:r>
          </w:p>
        </w:tc>
      </w:tr>
      <w:tr w:rsidR="00824C51" w:rsidRPr="00492A78" w:rsidTr="00A43971">
        <w:trPr>
          <w:trHeight w:val="183"/>
        </w:trPr>
        <w:tc>
          <w:tcPr>
            <w:tcW w:w="7230" w:type="dxa"/>
          </w:tcPr>
          <w:p w:rsidR="00824C51" w:rsidRPr="00492A78" w:rsidRDefault="00A6619A" w:rsidP="006B059E">
            <w:pPr>
              <w:pStyle w:val="TableParagraph"/>
              <w:rPr>
                <w:sz w:val="16"/>
                <w:szCs w:val="16"/>
              </w:rPr>
            </w:pPr>
            <w:r w:rsidRPr="00492A78">
              <w:rPr>
                <w:sz w:val="16"/>
                <w:szCs w:val="16"/>
              </w:rPr>
              <w:t>9.1.6.9.0.99.1.1.00.00.00 – (R) DEDUÇÃO RECEITA SERVIÇOS</w:t>
            </w:r>
          </w:p>
        </w:tc>
        <w:tc>
          <w:tcPr>
            <w:tcW w:w="2126" w:type="dxa"/>
          </w:tcPr>
          <w:p w:rsidR="00824C51" w:rsidRPr="00492A78" w:rsidRDefault="00347969" w:rsidP="006B059E">
            <w:pPr>
              <w:pStyle w:val="TableParagraph"/>
              <w:ind w:left="238"/>
              <w:jc w:val="right"/>
              <w:rPr>
                <w:sz w:val="16"/>
                <w:szCs w:val="16"/>
              </w:rPr>
            </w:pPr>
            <w:r w:rsidRPr="00347969">
              <w:rPr>
                <w:sz w:val="16"/>
                <w:szCs w:val="16"/>
              </w:rPr>
              <w:t>4.629,35</w:t>
            </w:r>
          </w:p>
        </w:tc>
      </w:tr>
      <w:tr w:rsidR="00824C51" w:rsidRPr="00492A78" w:rsidTr="00A43971">
        <w:trPr>
          <w:trHeight w:val="183"/>
        </w:trPr>
        <w:tc>
          <w:tcPr>
            <w:tcW w:w="7230" w:type="dxa"/>
          </w:tcPr>
          <w:p w:rsidR="00824C51" w:rsidRPr="00492A78" w:rsidRDefault="00A6619A">
            <w:pPr>
              <w:pStyle w:val="TableParagraph"/>
              <w:rPr>
                <w:sz w:val="16"/>
                <w:szCs w:val="16"/>
              </w:rPr>
            </w:pPr>
            <w:r w:rsidRPr="00492A78">
              <w:rPr>
                <w:sz w:val="16"/>
                <w:szCs w:val="16"/>
              </w:rPr>
              <w:t>9.1.7.1.8.01.2.1.04.00.00 - (R) DEDUÇÃO DA RECEITA PARA FORMAÇÃO DO FUNDEB – FPM</w:t>
            </w:r>
          </w:p>
        </w:tc>
        <w:tc>
          <w:tcPr>
            <w:tcW w:w="2126" w:type="dxa"/>
          </w:tcPr>
          <w:p w:rsidR="00824C51" w:rsidRPr="00492A78" w:rsidRDefault="00347969" w:rsidP="006B059E">
            <w:pPr>
              <w:pStyle w:val="TableParagraph"/>
              <w:ind w:left="238"/>
              <w:jc w:val="right"/>
              <w:rPr>
                <w:sz w:val="16"/>
                <w:szCs w:val="16"/>
              </w:rPr>
            </w:pPr>
            <w:r w:rsidRPr="00347969">
              <w:rPr>
                <w:sz w:val="16"/>
                <w:szCs w:val="16"/>
              </w:rPr>
              <w:t>2.063.998,51</w:t>
            </w:r>
          </w:p>
        </w:tc>
      </w:tr>
      <w:tr w:rsidR="00824C51" w:rsidRPr="00492A78" w:rsidTr="00A43971">
        <w:trPr>
          <w:trHeight w:val="181"/>
        </w:trPr>
        <w:tc>
          <w:tcPr>
            <w:tcW w:w="7230" w:type="dxa"/>
          </w:tcPr>
          <w:p w:rsidR="00824C51" w:rsidRPr="00492A78" w:rsidRDefault="00A43971">
            <w:pPr>
              <w:pStyle w:val="TableParagraph"/>
              <w:spacing w:line="161" w:lineRule="exact"/>
              <w:rPr>
                <w:sz w:val="16"/>
                <w:szCs w:val="16"/>
              </w:rPr>
            </w:pPr>
            <w:r w:rsidRPr="00492A78">
              <w:rPr>
                <w:sz w:val="16"/>
                <w:szCs w:val="16"/>
              </w:rPr>
              <w:t>9.</w:t>
            </w:r>
            <w:r w:rsidR="00A6619A" w:rsidRPr="00492A78">
              <w:rPr>
                <w:sz w:val="16"/>
                <w:szCs w:val="16"/>
              </w:rPr>
              <w:t>1.7.1.8.01.5.1.04.00.00 - (R) DEDUÇÃO DA RECEITA PARA FORMAÇÃO DO FUNDEB – ITR</w:t>
            </w:r>
          </w:p>
        </w:tc>
        <w:tc>
          <w:tcPr>
            <w:tcW w:w="2126" w:type="dxa"/>
          </w:tcPr>
          <w:p w:rsidR="00824C51" w:rsidRPr="00492A78" w:rsidRDefault="00347969" w:rsidP="006B059E">
            <w:pPr>
              <w:pStyle w:val="TableParagraph"/>
              <w:spacing w:line="161" w:lineRule="exact"/>
              <w:ind w:left="238"/>
              <w:jc w:val="right"/>
              <w:rPr>
                <w:sz w:val="16"/>
                <w:szCs w:val="16"/>
              </w:rPr>
            </w:pPr>
            <w:r w:rsidRPr="00347969">
              <w:rPr>
                <w:sz w:val="16"/>
                <w:szCs w:val="16"/>
              </w:rPr>
              <w:t>128,72</w:t>
            </w:r>
          </w:p>
        </w:tc>
      </w:tr>
      <w:tr w:rsidR="00824C51" w:rsidRPr="00492A78" w:rsidTr="00A43971">
        <w:trPr>
          <w:trHeight w:val="183"/>
        </w:trPr>
        <w:tc>
          <w:tcPr>
            <w:tcW w:w="7230" w:type="dxa"/>
          </w:tcPr>
          <w:p w:rsidR="00824C51" w:rsidRPr="00492A78" w:rsidRDefault="00A6619A">
            <w:pPr>
              <w:pStyle w:val="TableParagraph"/>
              <w:rPr>
                <w:sz w:val="16"/>
                <w:szCs w:val="16"/>
              </w:rPr>
            </w:pPr>
            <w:r w:rsidRPr="00492A78">
              <w:rPr>
                <w:sz w:val="16"/>
                <w:szCs w:val="16"/>
              </w:rPr>
              <w:t>9.1.7.2.8.01.1.1.04.00.00 - (R) DEDUÇÃO DA RECEITA PARA FORMACAO DO FUNDEB – ICMS</w:t>
            </w:r>
          </w:p>
        </w:tc>
        <w:tc>
          <w:tcPr>
            <w:tcW w:w="2126" w:type="dxa"/>
          </w:tcPr>
          <w:p w:rsidR="00824C51" w:rsidRPr="00492A78" w:rsidRDefault="00347969" w:rsidP="006B059E">
            <w:pPr>
              <w:pStyle w:val="TableParagraph"/>
              <w:ind w:left="203"/>
              <w:jc w:val="right"/>
              <w:rPr>
                <w:sz w:val="16"/>
                <w:szCs w:val="16"/>
              </w:rPr>
            </w:pPr>
            <w:r w:rsidRPr="00347969">
              <w:rPr>
                <w:sz w:val="16"/>
                <w:szCs w:val="16"/>
              </w:rPr>
              <w:t>1.081.652,77</w:t>
            </w:r>
          </w:p>
        </w:tc>
      </w:tr>
      <w:tr w:rsidR="00824C51" w:rsidRPr="00492A78" w:rsidTr="00A43971">
        <w:trPr>
          <w:trHeight w:val="183"/>
        </w:trPr>
        <w:tc>
          <w:tcPr>
            <w:tcW w:w="7230" w:type="dxa"/>
          </w:tcPr>
          <w:p w:rsidR="00824C51" w:rsidRPr="00492A78" w:rsidRDefault="00A6619A">
            <w:pPr>
              <w:pStyle w:val="TableParagraph"/>
              <w:rPr>
                <w:sz w:val="16"/>
                <w:szCs w:val="16"/>
              </w:rPr>
            </w:pPr>
            <w:r w:rsidRPr="00492A78">
              <w:rPr>
                <w:sz w:val="16"/>
                <w:szCs w:val="16"/>
              </w:rPr>
              <w:t>9.1.7.2.8.01.2.1.04.00.00 - (R) DEDUÇÃO DA RECEITA PARA FORMACAO DO FUNDEB – IPVA</w:t>
            </w:r>
          </w:p>
        </w:tc>
        <w:tc>
          <w:tcPr>
            <w:tcW w:w="2126" w:type="dxa"/>
          </w:tcPr>
          <w:p w:rsidR="00824C51" w:rsidRPr="00492A78" w:rsidRDefault="00347969" w:rsidP="006B059E">
            <w:pPr>
              <w:pStyle w:val="TableParagraph"/>
              <w:ind w:left="203"/>
              <w:jc w:val="right"/>
              <w:rPr>
                <w:sz w:val="16"/>
                <w:szCs w:val="16"/>
              </w:rPr>
            </w:pPr>
            <w:r w:rsidRPr="00347969">
              <w:rPr>
                <w:sz w:val="16"/>
                <w:szCs w:val="16"/>
              </w:rPr>
              <w:t>61.998,93</w:t>
            </w:r>
          </w:p>
        </w:tc>
      </w:tr>
      <w:tr w:rsidR="00824C51" w:rsidRPr="00492A78" w:rsidTr="00A43971">
        <w:trPr>
          <w:trHeight w:val="188"/>
        </w:trPr>
        <w:tc>
          <w:tcPr>
            <w:tcW w:w="7230" w:type="dxa"/>
          </w:tcPr>
          <w:p w:rsidR="00824C51" w:rsidRPr="00492A78" w:rsidRDefault="00A6619A">
            <w:pPr>
              <w:pStyle w:val="TableParagraph"/>
              <w:spacing w:line="168" w:lineRule="exact"/>
              <w:rPr>
                <w:sz w:val="16"/>
                <w:szCs w:val="16"/>
              </w:rPr>
            </w:pPr>
            <w:r w:rsidRPr="00492A78">
              <w:rPr>
                <w:sz w:val="16"/>
                <w:szCs w:val="16"/>
              </w:rPr>
              <w:t>9.1.7.2.8.01.3.1.04.00.00 - (R) DEDUÇÃO DA RECEITA PARA FORMACAO DO FUNDEB - IPI</w:t>
            </w:r>
          </w:p>
        </w:tc>
        <w:tc>
          <w:tcPr>
            <w:tcW w:w="2126" w:type="dxa"/>
          </w:tcPr>
          <w:p w:rsidR="00824C51" w:rsidRPr="00492A78" w:rsidRDefault="00AC5703" w:rsidP="006B059E">
            <w:pPr>
              <w:pStyle w:val="TableParagraph"/>
              <w:spacing w:line="168" w:lineRule="exact"/>
              <w:ind w:left="203"/>
              <w:jc w:val="right"/>
              <w:rPr>
                <w:sz w:val="16"/>
                <w:szCs w:val="16"/>
              </w:rPr>
            </w:pPr>
            <w:r w:rsidRPr="00AC5703">
              <w:rPr>
                <w:sz w:val="16"/>
                <w:szCs w:val="16"/>
              </w:rPr>
              <w:t>31.700,08</w:t>
            </w:r>
          </w:p>
        </w:tc>
      </w:tr>
      <w:tr w:rsidR="00824C51" w:rsidRPr="00492A78" w:rsidTr="00A43971">
        <w:trPr>
          <w:trHeight w:val="227"/>
        </w:trPr>
        <w:tc>
          <w:tcPr>
            <w:tcW w:w="7230" w:type="dxa"/>
          </w:tcPr>
          <w:p w:rsidR="00824C51" w:rsidRPr="00492A78" w:rsidRDefault="00A6619A">
            <w:pPr>
              <w:pStyle w:val="TableParagraph"/>
              <w:spacing w:line="207" w:lineRule="exact"/>
              <w:rPr>
                <w:b/>
                <w:sz w:val="16"/>
                <w:szCs w:val="16"/>
              </w:rPr>
            </w:pPr>
            <w:r w:rsidRPr="00492A78">
              <w:rPr>
                <w:b/>
                <w:sz w:val="16"/>
                <w:szCs w:val="16"/>
              </w:rPr>
              <w:t>TOTAL DAS DEDUÇÕES DA RECEITA ORÇAMENTÁRIA</w:t>
            </w:r>
          </w:p>
        </w:tc>
        <w:tc>
          <w:tcPr>
            <w:tcW w:w="2126" w:type="dxa"/>
          </w:tcPr>
          <w:p w:rsidR="00824C51" w:rsidRPr="00492A78" w:rsidRDefault="00347969" w:rsidP="006B059E">
            <w:pPr>
              <w:pStyle w:val="TableParagraph"/>
              <w:spacing w:line="240" w:lineRule="auto"/>
              <w:ind w:left="0"/>
              <w:jc w:val="right"/>
              <w:rPr>
                <w:sz w:val="16"/>
                <w:szCs w:val="16"/>
              </w:rPr>
            </w:pPr>
            <w:r w:rsidRPr="00347969">
              <w:rPr>
                <w:sz w:val="16"/>
                <w:szCs w:val="16"/>
              </w:rPr>
              <w:t>3.288.958,78</w:t>
            </w:r>
          </w:p>
        </w:tc>
      </w:tr>
    </w:tbl>
    <w:p w:rsidR="00824C51" w:rsidRPr="00492A78" w:rsidRDefault="00824C51">
      <w:pPr>
        <w:pStyle w:val="Corpodetexto"/>
        <w:spacing w:before="7"/>
        <w:rPr>
          <w:sz w:val="23"/>
        </w:rPr>
      </w:pPr>
    </w:p>
    <w:p w:rsidR="00824C51" w:rsidRPr="00492A78" w:rsidRDefault="00022CD0">
      <w:pPr>
        <w:ind w:left="162" w:right="119"/>
        <w:jc w:val="both"/>
        <w:rPr>
          <w:b/>
          <w:sz w:val="24"/>
        </w:rPr>
      </w:pPr>
      <w:r w:rsidRPr="00492A78">
        <w:rPr>
          <w:b/>
          <w:sz w:val="24"/>
        </w:rPr>
        <w:t xml:space="preserve">Nota 2 – Recebimentos e pagamentos extraorçamentários: </w:t>
      </w:r>
      <w:r w:rsidRPr="00492A78">
        <w:rPr>
          <w:sz w:val="24"/>
        </w:rPr>
        <w:t xml:space="preserve">os itens desses grupos correspondem aos ingressos e dispêndios que, na forma do parágrafo único do art. 3º a art. 103 da Lei Federal nº 4.320/64 se </w:t>
      </w:r>
      <w:r w:rsidR="006B059E" w:rsidRPr="00492A78">
        <w:rPr>
          <w:sz w:val="24"/>
        </w:rPr>
        <w:t>refere</w:t>
      </w:r>
      <w:r w:rsidRPr="00492A78">
        <w:rPr>
          <w:sz w:val="24"/>
        </w:rPr>
        <w:t xml:space="preserve"> a operações que não transitam pelo orçamento, bem como a contrapartida das inscrições (ingressos) e pagamentos (dispêndios) de restos a pagar processados e não processados. O quadro a seguir mostra a movimentação </w:t>
      </w:r>
      <w:r w:rsidRPr="00492A78">
        <w:rPr>
          <w:b/>
          <w:sz w:val="24"/>
        </w:rPr>
        <w:t xml:space="preserve">ocorrida no exercício financeiro de </w:t>
      </w:r>
      <w:r w:rsidR="00F97F2C">
        <w:rPr>
          <w:b/>
          <w:sz w:val="24"/>
        </w:rPr>
        <w:t>2021</w:t>
      </w:r>
      <w:r w:rsidRPr="00492A78">
        <w:rPr>
          <w:b/>
          <w:sz w:val="24"/>
        </w:rPr>
        <w:t>:</w:t>
      </w:r>
    </w:p>
    <w:tbl>
      <w:tblPr>
        <w:tblW w:w="93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80"/>
        <w:gridCol w:w="1560"/>
        <w:gridCol w:w="1560"/>
      </w:tblGrid>
      <w:tr w:rsidR="00027128" w:rsidRPr="00027128" w:rsidTr="00027128">
        <w:trPr>
          <w:trHeight w:val="310"/>
          <w:jc w:val="center"/>
        </w:trPr>
        <w:tc>
          <w:tcPr>
            <w:tcW w:w="9300" w:type="dxa"/>
            <w:gridSpan w:val="3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 w:bidi="ar-SA"/>
              </w:rPr>
            </w:pPr>
            <w:r w:rsidRPr="00027128">
              <w:rPr>
                <w:color w:val="000000"/>
                <w:sz w:val="24"/>
                <w:szCs w:val="24"/>
                <w:lang w:eastAsia="pt-BR" w:bidi="ar-SA"/>
              </w:rPr>
              <w:t>Poder Executivo</w:t>
            </w:r>
          </w:p>
        </w:tc>
      </w:tr>
      <w:tr w:rsidR="00027128" w:rsidRPr="00027128" w:rsidTr="00027128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b/>
                <w:bCs/>
                <w:color w:val="000000"/>
                <w:sz w:val="16"/>
                <w:lang w:eastAsia="pt-BR" w:bidi="ar-SA"/>
              </w:rPr>
              <w:t>Título / Subtítulo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b/>
                <w:bCs/>
                <w:color w:val="000000"/>
                <w:sz w:val="16"/>
                <w:lang w:eastAsia="pt-BR" w:bidi="ar-SA"/>
              </w:rPr>
              <w:t>Ingressos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b/>
                <w:bCs/>
                <w:color w:val="000000"/>
                <w:sz w:val="16"/>
                <w:szCs w:val="16"/>
                <w:lang w:val="pt-BR" w:eastAsia="pt-BR" w:bidi="ar-SA"/>
              </w:rPr>
              <w:t>Dispêndios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5.3.1.7.0.00.00 - RP NÃO PROCESSADOS INSCRIÇÃO NO EXERCÍCIO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E027F9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1.131.291,62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E027F9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792.759,40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5.3.2.7.0.00.00 - RP PROCESSADOS – INSCRIÇÃO NO EXERCICIO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E027F9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136.295,60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E027F9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673.014,26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6.3.1.4.0.00.00 – RP NÃO PROCESSADOS – PAGOS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E027F9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946.823,43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E027F9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946.823,43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6.3.2.2.0.00.00 – RP PROCESSADOS – PAGOS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E027F9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642.136,79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E027F9" w:rsidP="000D02FC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642</w:t>
            </w:r>
            <w:r w:rsidR="000D02FC">
              <w:rPr>
                <w:color w:val="000000"/>
                <w:sz w:val="16"/>
                <w:szCs w:val="16"/>
                <w:lang w:val="pt-BR" w:eastAsia="pt-BR" w:bidi="ar-SA"/>
              </w:rPr>
              <w:t>.</w:t>
            </w:r>
            <w:r>
              <w:rPr>
                <w:color w:val="000000"/>
                <w:sz w:val="16"/>
                <w:szCs w:val="16"/>
                <w:lang w:val="pt-BR" w:eastAsia="pt-BR" w:bidi="ar-SA"/>
              </w:rPr>
              <w:t>136,79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1.1.3.8.1.09.00 - CREDITOS A RECEBER POR SALARIO MATERNIDADE PAGO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0D02FC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  <w:lang w:val="pt-BR" w:eastAsia="pt-BR" w:bidi="ar-SA"/>
              </w:rPr>
              <w:t>22.129,98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0D02FC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26.312,65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2.1.8.8.1.01.00 - CONSIGNACOES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0D02FC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968.477,71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0D02FC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967.390,32</w:t>
            </w:r>
          </w:p>
        </w:tc>
      </w:tr>
      <w:tr w:rsidR="00027128" w:rsidRPr="00492A78" w:rsidTr="00027128">
        <w:trPr>
          <w:trHeight w:val="310"/>
          <w:jc w:val="center"/>
        </w:trPr>
        <w:tc>
          <w:tcPr>
            <w:tcW w:w="9300" w:type="dxa"/>
            <w:gridSpan w:val="3"/>
            <w:shd w:val="clear" w:color="auto" w:fill="auto"/>
            <w:vAlign w:val="bottom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 w:bidi="ar-SA"/>
              </w:rPr>
            </w:pPr>
            <w:r w:rsidRPr="00027128">
              <w:rPr>
                <w:color w:val="000000"/>
                <w:sz w:val="24"/>
                <w:szCs w:val="24"/>
                <w:lang w:eastAsia="pt-BR" w:bidi="ar-SA"/>
              </w:rPr>
              <w:t>Poder Legislativo</w:t>
            </w:r>
          </w:p>
        </w:tc>
      </w:tr>
      <w:tr w:rsidR="00027128" w:rsidRPr="00027128" w:rsidTr="00027128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b/>
                <w:bCs/>
                <w:color w:val="000000"/>
                <w:sz w:val="16"/>
                <w:lang w:eastAsia="pt-BR" w:bidi="ar-SA"/>
              </w:rPr>
              <w:t>Título / Subtítulo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b/>
                <w:bCs/>
                <w:color w:val="000000"/>
                <w:sz w:val="16"/>
                <w:lang w:eastAsia="pt-BR" w:bidi="ar-SA"/>
              </w:rPr>
              <w:t>Ingressos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b/>
                <w:bCs/>
                <w:color w:val="000000"/>
                <w:sz w:val="16"/>
                <w:szCs w:val="16"/>
                <w:lang w:val="pt-BR" w:eastAsia="pt-BR" w:bidi="ar-SA"/>
              </w:rPr>
              <w:t>Dispêndios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5.3.1.7.0.00.00 - RP NÃO PROCESSADOS INSCRIÇÃO NO EXERCÍCIO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5262B8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2.556,12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5262B8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50.562,24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5.3.2.7.0.00.00 - RP PROCESSADOS – INSCRIÇÃO NO EXERCICIO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5262B8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7.583,65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5262B8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8.796,16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6.3.1.4.0.00.00 – RP NÃO PROCESSADOS – PAGOS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5262B8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45.975,16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5262B8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45.975,16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6.3.2.2.0.00.00 – RP PROCESSADOS – PAGOS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5262B8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8.371,03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5262B8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8.371,03</w:t>
            </w:r>
          </w:p>
        </w:tc>
      </w:tr>
      <w:tr w:rsidR="00027128" w:rsidRPr="00027128" w:rsidTr="00BF6021">
        <w:trPr>
          <w:trHeight w:val="310"/>
          <w:jc w:val="center"/>
        </w:trPr>
        <w:tc>
          <w:tcPr>
            <w:tcW w:w="6180" w:type="dxa"/>
            <w:shd w:val="clear" w:color="auto" w:fill="auto"/>
            <w:vAlign w:val="center"/>
            <w:hideMark/>
          </w:tcPr>
          <w:p w:rsidR="00027128" w:rsidRPr="00027128" w:rsidRDefault="00027128" w:rsidP="00027128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pt-BR" w:eastAsia="pt-BR" w:bidi="ar-SA"/>
              </w:rPr>
            </w:pPr>
            <w:r w:rsidRPr="00027128">
              <w:rPr>
                <w:color w:val="000000"/>
                <w:sz w:val="16"/>
                <w:lang w:eastAsia="pt-BR" w:bidi="ar-SA"/>
              </w:rPr>
              <w:t>2.1.8.8.1.01.00 - CONSIGNACOES</w:t>
            </w:r>
          </w:p>
        </w:tc>
        <w:tc>
          <w:tcPr>
            <w:tcW w:w="1560" w:type="dxa"/>
            <w:shd w:val="clear" w:color="auto" w:fill="auto"/>
          </w:tcPr>
          <w:p w:rsidR="00027128" w:rsidRPr="00027128" w:rsidRDefault="0050597F" w:rsidP="00027128">
            <w:pPr>
              <w:widowControl/>
              <w:autoSpaceDE/>
              <w:autoSpaceDN/>
              <w:ind w:firstLineChars="300" w:firstLine="480"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76.164,57</w:t>
            </w:r>
          </w:p>
        </w:tc>
        <w:tc>
          <w:tcPr>
            <w:tcW w:w="1560" w:type="dxa"/>
            <w:shd w:val="clear" w:color="auto" w:fill="auto"/>
            <w:noWrap/>
          </w:tcPr>
          <w:p w:rsidR="00027128" w:rsidRPr="00027128" w:rsidRDefault="0050597F" w:rsidP="00027128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val="pt-BR" w:eastAsia="pt-BR" w:bidi="ar-SA"/>
              </w:rPr>
            </w:pPr>
            <w:r>
              <w:rPr>
                <w:color w:val="000000"/>
                <w:sz w:val="16"/>
                <w:szCs w:val="16"/>
                <w:lang w:val="pt-BR" w:eastAsia="pt-BR" w:bidi="ar-SA"/>
              </w:rPr>
              <w:t>75.506,35</w:t>
            </w:r>
          </w:p>
        </w:tc>
      </w:tr>
    </w:tbl>
    <w:p w:rsidR="00824C51" w:rsidRPr="00492A78" w:rsidRDefault="00022CD0">
      <w:pPr>
        <w:spacing w:before="181"/>
        <w:ind w:left="162"/>
        <w:jc w:val="both"/>
        <w:rPr>
          <w:sz w:val="24"/>
        </w:rPr>
      </w:pPr>
      <w:r w:rsidRPr="00492A78">
        <w:rPr>
          <w:b/>
          <w:sz w:val="24"/>
        </w:rPr>
        <w:t xml:space="preserve">Nota 3 – Despesas Orçamentárias: </w:t>
      </w:r>
      <w:r w:rsidRPr="00492A78">
        <w:rPr>
          <w:sz w:val="24"/>
        </w:rPr>
        <w:t>são apresentados os valores empenhados.</w:t>
      </w:r>
    </w:p>
    <w:p w:rsidR="00824C51" w:rsidRPr="00492A78" w:rsidRDefault="00824C51">
      <w:pPr>
        <w:jc w:val="both"/>
        <w:rPr>
          <w:sz w:val="24"/>
        </w:rPr>
        <w:sectPr w:rsidR="00824C51" w:rsidRPr="00492A78">
          <w:pgSz w:w="11910" w:h="16840"/>
          <w:pgMar w:top="1960" w:right="1580" w:bottom="1100" w:left="1540" w:header="532" w:footer="920" w:gutter="0"/>
          <w:cols w:space="720"/>
        </w:sectPr>
      </w:pPr>
    </w:p>
    <w:p w:rsidR="00824C51" w:rsidRPr="00492A78" w:rsidRDefault="00022CD0">
      <w:pPr>
        <w:pStyle w:val="Ttulo1"/>
        <w:ind w:right="1051"/>
      </w:pPr>
      <w:r w:rsidRPr="00492A78">
        <w:lastRenderedPageBreak/>
        <w:t>Notas Explicativas do Balanço Patrimonial</w:t>
      </w:r>
    </w:p>
    <w:p w:rsidR="00824C51" w:rsidRPr="00492A78" w:rsidRDefault="00824C51">
      <w:pPr>
        <w:pStyle w:val="Corpodetexto"/>
        <w:spacing w:before="8"/>
        <w:rPr>
          <w:b/>
          <w:sz w:val="23"/>
        </w:rPr>
      </w:pPr>
    </w:p>
    <w:p w:rsidR="00824C51" w:rsidRPr="00492A78" w:rsidRDefault="00022CD0">
      <w:pPr>
        <w:pStyle w:val="Corpodetexto"/>
        <w:ind w:left="162" w:right="121"/>
        <w:jc w:val="both"/>
      </w:pPr>
      <w:r w:rsidRPr="00492A78">
        <w:rPr>
          <w:b/>
        </w:rPr>
        <w:t xml:space="preserve">Nota 1 – Contexto Operacional: </w:t>
      </w:r>
      <w:r w:rsidRPr="00492A78">
        <w:t>o Município de Quatro Irmãos, pessoa jurídica de direito público, é compreendido, na Administração Direta, pelos órgãos sem personalidade jurídica do Poder Executivo, composto por 08 Secretarias Municipais, 02 Fundos Especiais e o Poder Legislativo.</w:t>
      </w:r>
    </w:p>
    <w:p w:rsidR="00824C51" w:rsidRPr="00492A78" w:rsidRDefault="00824C51">
      <w:pPr>
        <w:pStyle w:val="Corpodetexto"/>
        <w:spacing w:before="2"/>
      </w:pPr>
    </w:p>
    <w:p w:rsidR="00824C51" w:rsidRPr="00492A78" w:rsidRDefault="00022CD0">
      <w:pPr>
        <w:pStyle w:val="Corpodetexto"/>
        <w:ind w:left="162" w:right="116"/>
        <w:jc w:val="both"/>
      </w:pPr>
      <w:r w:rsidRPr="00492A78">
        <w:rPr>
          <w:b/>
        </w:rPr>
        <w:t xml:space="preserve">Nota 2 – Apresentação das Demonstrações Contábeis: </w:t>
      </w:r>
      <w:r w:rsidRPr="00492A78">
        <w:t>foram elaboradas em observância com os dispositivos legais que regulam o assunto, em especial a Lei nº 4.320/64, a Lei Complementar nº 101/2000, os Princípios de Contabilidade, as Normas Brasileiras de Contabilidade Aplicadas ao Setor Público, o Manual de Contabilidade Aplicada ao Setor Público e demais disposições normativas vigentes.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pStyle w:val="Corpodetexto"/>
        <w:spacing w:before="1"/>
        <w:ind w:left="162" w:right="119"/>
        <w:jc w:val="both"/>
      </w:pPr>
      <w:r w:rsidRPr="00492A78">
        <w:rPr>
          <w:b/>
        </w:rPr>
        <w:t xml:space="preserve">Nota 3 – Caixa e Equivalente de Caixa: </w:t>
      </w:r>
      <w:r w:rsidRPr="00492A78">
        <w:t>compreende o somatório dos valores em caixa e em bancos, bem como equivalentes, que representam recursos com livre movimentação para aplicação nas operações da entidade e para os quais não haja restrições para uso</w:t>
      </w:r>
      <w:r w:rsidRPr="00492A78">
        <w:rPr>
          <w:spacing w:val="-3"/>
        </w:rPr>
        <w:t xml:space="preserve"> </w:t>
      </w:r>
      <w:r w:rsidRPr="00492A78">
        <w:t>imediato.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ind w:left="162" w:right="115"/>
        <w:jc w:val="both"/>
      </w:pPr>
      <w:r w:rsidRPr="00492A78">
        <w:rPr>
          <w:b/>
        </w:rPr>
        <w:t xml:space="preserve">Nota 4 – Créditos a Receber a Curto Prazo e a </w:t>
      </w:r>
      <w:r w:rsidR="000B449C" w:rsidRPr="00492A78">
        <w:rPr>
          <w:b/>
        </w:rPr>
        <w:t>Longo Prazo</w:t>
      </w:r>
      <w:r w:rsidRPr="00492A78">
        <w:rPr>
          <w:b/>
        </w:rPr>
        <w:t xml:space="preserve">: </w:t>
      </w:r>
      <w:r w:rsidRPr="00492A78">
        <w:t xml:space="preserve">os valores apresentados nestas rubricas compreendem os saldos líquidos a receber, ou seja, já deduzidos os ajustes para perdas. Os valores realizáveis em até 12 meses foram classificados no ativo circulante. O restante, que representa os valores realizáveis após 12 meses da data da publicação das demonstrações contábeis, foi classificado no ativo não circulante. Especificamente em relação à </w:t>
      </w:r>
      <w:r w:rsidRPr="00492A78">
        <w:rPr>
          <w:b/>
        </w:rPr>
        <w:t>dívida ativa</w:t>
      </w:r>
      <w:r w:rsidRPr="00492A78">
        <w:t xml:space="preserve">, os valores a curto prazo, oram estimados pela média anual de recebimentos efetivos dos últimos três exercícios e o longo prazo abriga o restante do estoque de créditos inscritos em dívida ativa. </w:t>
      </w:r>
      <w:r w:rsidRPr="00492A78">
        <w:rPr>
          <w:b/>
        </w:rPr>
        <w:t>Já o ajuste a valor recuperável dos créditos inscritos na dívida ativa</w:t>
      </w:r>
      <w:r w:rsidRPr="00492A78">
        <w:t xml:space="preserve">, foi efetuado considerando a média ponderada dos recebimentos de cada tributo/crédito em relação aos respectivos montantes inscritos nos três últimos exercícios, obtendo-se, assim, percentual médio de recebimentos. A partir desses dados, foi possível estimar os valores das perdas esperadas referentes à dívida ativa, que foram registradas em contas </w:t>
      </w:r>
      <w:r w:rsidRPr="00492A78">
        <w:rPr>
          <w:b/>
        </w:rPr>
        <w:t>redutoras do ativo</w:t>
      </w:r>
      <w:r w:rsidRPr="00492A78">
        <w:t>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 xml:space="preserve">Nota 5 – Estoques: </w:t>
      </w:r>
      <w:r w:rsidRPr="00492A78">
        <w:t>compreende o valor dos bens adquiridos, produzidos ou em processo de elaboração, com o objetivo de venda ou utilização própria no curso normal das atividades.</w:t>
      </w:r>
    </w:p>
    <w:p w:rsidR="00824C51" w:rsidRPr="00492A78" w:rsidRDefault="00824C51">
      <w:pPr>
        <w:pStyle w:val="Corpodetexto"/>
        <w:spacing w:before="11"/>
        <w:rPr>
          <w:sz w:val="23"/>
        </w:rPr>
      </w:pPr>
    </w:p>
    <w:p w:rsidR="00824C51" w:rsidRPr="00492A78" w:rsidRDefault="00022CD0">
      <w:pPr>
        <w:pStyle w:val="Corpodetexto"/>
        <w:ind w:left="162" w:right="122"/>
        <w:jc w:val="both"/>
      </w:pPr>
      <w:r w:rsidRPr="00492A78">
        <w:rPr>
          <w:b/>
        </w:rPr>
        <w:t xml:space="preserve">Nota 6 – Imobilizado – Bens Móveis: </w:t>
      </w:r>
      <w:r w:rsidRPr="00492A78">
        <w:t xml:space="preserve">os saldos apresentados correspondem aos valores líquidos (já descontada a depreciação e ajuste a valor recuperável) constantes no inventário geral realizado em </w:t>
      </w:r>
      <w:r w:rsidR="00F97F2C">
        <w:t>2021</w:t>
      </w:r>
      <w:r w:rsidRPr="00492A78">
        <w:t>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ind w:left="162" w:right="120"/>
        <w:jc w:val="both"/>
        <w:rPr>
          <w:sz w:val="24"/>
        </w:rPr>
      </w:pPr>
      <w:r w:rsidRPr="00492A78">
        <w:rPr>
          <w:b/>
          <w:sz w:val="24"/>
        </w:rPr>
        <w:t xml:space="preserve">Nota 7 – Imobilizado – Bens Imóveis: </w:t>
      </w:r>
      <w:r w:rsidRPr="00492A78">
        <w:rPr>
          <w:sz w:val="24"/>
        </w:rPr>
        <w:t>os saldos apresentados compreendem os bens vinculados ao solo e que não podem ser retirados sem destruição ou dano, destinados ao uso.</w:t>
      </w:r>
    </w:p>
    <w:p w:rsidR="00824C51" w:rsidRPr="00492A78" w:rsidRDefault="00824C51">
      <w:pPr>
        <w:jc w:val="both"/>
        <w:rPr>
          <w:sz w:val="24"/>
        </w:rPr>
        <w:sectPr w:rsidR="00824C51" w:rsidRPr="00492A78" w:rsidSect="003D21A6">
          <w:pgSz w:w="11910" w:h="16840" w:code="9"/>
          <w:pgMar w:top="1928" w:right="1134" w:bottom="1134" w:left="1134" w:header="533" w:footer="919" w:gutter="0"/>
          <w:cols w:space="720"/>
          <w:docGrid w:linePitch="299"/>
        </w:sectPr>
      </w:pPr>
    </w:p>
    <w:p w:rsidR="00824C51" w:rsidRPr="00492A78" w:rsidRDefault="00022CD0">
      <w:pPr>
        <w:pStyle w:val="Corpodetexto"/>
        <w:spacing w:before="230"/>
        <w:ind w:left="162" w:right="118"/>
        <w:jc w:val="both"/>
      </w:pPr>
      <w:r w:rsidRPr="00492A78">
        <w:rPr>
          <w:b/>
        </w:rPr>
        <w:lastRenderedPageBreak/>
        <w:t>Nota 8 – Obrigações Trab., Prev. e Assistenciais a Pagar a Curto Prazo e a Longo Prazo: c</w:t>
      </w:r>
      <w:r w:rsidRPr="00492A78">
        <w:t>ompreende o saldo das obrigações reconhecidas pelo regime de competência referentes a salários ou remunerações, bem como benefícios aos quais o empregado ou servidor tenha direito, aposentadorias, reformas, pensões e encargos a pagar, benefícios assistenciais, inclusive os precatórios decorrentes dessas obrigações. No curto prazo foram classificados os valores exigíveis em até 12 meses da data das demonstrações contábeis. O restante das obrigações dessa natureza foi classificado no longo prazo.</w:t>
      </w:r>
    </w:p>
    <w:p w:rsidR="00824C51" w:rsidRPr="00492A78" w:rsidRDefault="00824C51">
      <w:pPr>
        <w:pStyle w:val="Corpodetexto"/>
        <w:spacing w:before="8"/>
        <w:rPr>
          <w:sz w:val="23"/>
        </w:rPr>
      </w:pPr>
    </w:p>
    <w:p w:rsidR="00824C51" w:rsidRPr="00492A78" w:rsidRDefault="00022CD0">
      <w:pPr>
        <w:ind w:left="162" w:right="116"/>
        <w:jc w:val="both"/>
        <w:rPr>
          <w:sz w:val="24"/>
        </w:rPr>
      </w:pPr>
      <w:r w:rsidRPr="00492A78">
        <w:rPr>
          <w:b/>
          <w:sz w:val="24"/>
        </w:rPr>
        <w:t xml:space="preserve">Nota 9 - Empréstimos e Financiamentos a Curto Prazo e Longo Prazo: </w:t>
      </w:r>
      <w:r w:rsidRPr="00492A78">
        <w:rPr>
          <w:sz w:val="24"/>
        </w:rPr>
        <w:t>os saldos são apresentados pelos valores líquidos das obrigações, devidamente ajustado em 31/12/</w:t>
      </w:r>
      <w:r w:rsidR="00F97F2C">
        <w:rPr>
          <w:sz w:val="24"/>
        </w:rPr>
        <w:t>2021</w:t>
      </w:r>
      <w:r w:rsidRPr="00492A78">
        <w:rPr>
          <w:sz w:val="24"/>
        </w:rPr>
        <w:t>, e compreendem as obrigações financeiras internas do Município a título de empréstimos, com vencimento no curto prazo (12 meses) e longo</w:t>
      </w:r>
      <w:r w:rsidRPr="00492A78">
        <w:rPr>
          <w:spacing w:val="-4"/>
          <w:sz w:val="24"/>
        </w:rPr>
        <w:t xml:space="preserve"> </w:t>
      </w:r>
      <w:r w:rsidRPr="00492A78">
        <w:rPr>
          <w:sz w:val="24"/>
        </w:rPr>
        <w:t>prazo.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ind w:left="162" w:right="115"/>
        <w:jc w:val="both"/>
      </w:pPr>
      <w:r w:rsidRPr="00492A78">
        <w:rPr>
          <w:b/>
        </w:rPr>
        <w:t xml:space="preserve">Nota 10 – Fornecedores e Contas a Pagar a Curto e a Longo Prazo: </w:t>
      </w:r>
      <w:r w:rsidRPr="00492A78">
        <w:t>os valores registrados nesses títulos são decorrentes de obrigações junto a fornecedores de matérias-primas, mercadorias e outros materiais utilizados nas atividades operacionais dos órgãos e entidades da administração direta e indireta. Compreendem também obrigações decorrentes do fornecimento de utilidades e da prestação de serviços, tais como de energia elétrica, água, telefone, propaganda, aluguéis e todas as outras contas a pagar, inclusive, os precatórios decorrentes dessas obrigações, e os valores inscritos em restos a pagar processados. Os saldos apresentados compreendem os valores empenhados e liquidados e também aqueles que, embora não empenhados, foram reconhecidos pelo regime de competência.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ind w:left="162" w:right="120"/>
        <w:jc w:val="both"/>
        <w:rPr>
          <w:sz w:val="24"/>
        </w:rPr>
      </w:pPr>
      <w:r w:rsidRPr="00492A78">
        <w:rPr>
          <w:b/>
          <w:sz w:val="24"/>
        </w:rPr>
        <w:t>Nota 11 – Obrigações Fiscais a Curto e a Longo Prazo</w:t>
      </w:r>
      <w:r w:rsidRPr="00492A78">
        <w:rPr>
          <w:sz w:val="24"/>
        </w:rPr>
        <w:t>: compreende o saldo das obrigações dos órgãos e entidades da Administração Municipal, relativas a impostos, taxas e contribuições devidas à União, ao Estado e a Municípios.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>Nota 12 – Provisões a Curto e a Longo Prazo</w:t>
      </w:r>
      <w:r w:rsidRPr="00492A78">
        <w:t>: segundo o MCASP, as provisões são obrigações presentes, derivadas de eventos passados, cujos pagamentos se esperam que resultem saídas de recursos capazes de gerar benefícios econômicos ou potencial de serviços, e que possuem prazo ou valor incerto.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ind w:left="162" w:right="120"/>
        <w:jc w:val="both"/>
      </w:pPr>
      <w:r w:rsidRPr="00492A78">
        <w:rPr>
          <w:b/>
        </w:rPr>
        <w:t xml:space="preserve">Nota 13 - Patrimônio Líquido: </w:t>
      </w:r>
      <w:r w:rsidRPr="00492A78">
        <w:t>compreende o valor residual dos ativos depois de deduzidos todos os passivos. Esse grupo é composto pelos saldos de Patrimônio Social</w:t>
      </w:r>
      <w:r w:rsidR="000B449C" w:rsidRPr="00492A78">
        <w:t xml:space="preserve"> </w:t>
      </w:r>
      <w:r w:rsidRPr="00492A78">
        <w:t>e Capital Social, Adiantamento para Futuro Aumento de Capital, Reservas de Capital, Ajustes de Avaliação Patrimonial, Reservas de Lucros, Demais Reservas, Resultados Acumulados e Ações / Cotas em</w:t>
      </w:r>
      <w:r w:rsidRPr="00492A78">
        <w:rPr>
          <w:spacing w:val="-3"/>
        </w:rPr>
        <w:t xml:space="preserve"> </w:t>
      </w:r>
      <w:r w:rsidRPr="00492A78">
        <w:t>Tesouraria.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spacing w:before="1"/>
        <w:ind w:left="162" w:right="120"/>
        <w:jc w:val="both"/>
      </w:pPr>
      <w:r w:rsidRPr="00492A78">
        <w:rPr>
          <w:b/>
        </w:rPr>
        <w:t xml:space="preserve">Nota 14 – Ajustes de Exercício Anteriores: </w:t>
      </w:r>
      <w:r w:rsidRPr="00492A78">
        <w:t>de acordo com o MCASP, os ajustes de exercícios anteriores são relacionados com registros decorrentes de efeitos da mudança de critério contábil, omissão de registro, ou retificação de erro imputável a determinado exercício anterior, e que não possam ser atribuídos a fatos subsequentes.</w:t>
      </w:r>
    </w:p>
    <w:p w:rsidR="00824C51" w:rsidRPr="00492A78" w:rsidRDefault="00824C51">
      <w:pPr>
        <w:jc w:val="both"/>
        <w:sectPr w:rsidR="00824C51" w:rsidRPr="00492A78">
          <w:pgSz w:w="11910" w:h="16840"/>
          <w:pgMar w:top="1960" w:right="1580" w:bottom="1100" w:left="1540" w:header="532" w:footer="920" w:gutter="0"/>
          <w:cols w:space="720"/>
        </w:sectPr>
      </w:pPr>
    </w:p>
    <w:p w:rsidR="00824C51" w:rsidRPr="00492A78" w:rsidRDefault="00022CD0">
      <w:pPr>
        <w:pStyle w:val="Ttulo1"/>
        <w:ind w:right="1051"/>
      </w:pPr>
      <w:r w:rsidRPr="00492A78">
        <w:lastRenderedPageBreak/>
        <w:t>Notas Explicativas da Demonstração das Variações Patrimoniais</w:t>
      </w:r>
    </w:p>
    <w:p w:rsidR="00824C51" w:rsidRPr="00492A78" w:rsidRDefault="00824C51">
      <w:pPr>
        <w:pStyle w:val="Corpodetexto"/>
        <w:spacing w:before="8"/>
        <w:rPr>
          <w:b/>
          <w:sz w:val="23"/>
        </w:rPr>
      </w:pPr>
    </w:p>
    <w:p w:rsidR="00824C51" w:rsidRPr="00492A78" w:rsidRDefault="00022CD0">
      <w:pPr>
        <w:ind w:left="162" w:right="115"/>
        <w:jc w:val="both"/>
        <w:rPr>
          <w:sz w:val="24"/>
        </w:rPr>
      </w:pPr>
      <w:r w:rsidRPr="00492A78">
        <w:rPr>
          <w:b/>
          <w:sz w:val="24"/>
        </w:rPr>
        <w:t>Nota 1 – Valorização e Ganhos com Ativos e Desincorporação de Passivos</w:t>
      </w:r>
      <w:r w:rsidRPr="00492A78">
        <w:rPr>
          <w:sz w:val="24"/>
        </w:rPr>
        <w:t>: em relação a esse item cabe destacar que, em razão do processo de convergência aos padrões de contabilidade estabelecidos pelas NBCASP, e de acordo com o MCASP, foram efetuados vários ajustes para a adoção do valor de mercado para bens do</w:t>
      </w:r>
      <w:r w:rsidRPr="00492A78">
        <w:rPr>
          <w:spacing w:val="-8"/>
          <w:sz w:val="24"/>
        </w:rPr>
        <w:t xml:space="preserve"> </w:t>
      </w:r>
      <w:r w:rsidRPr="00492A78">
        <w:rPr>
          <w:sz w:val="24"/>
        </w:rPr>
        <w:t>ativo.</w:t>
      </w:r>
    </w:p>
    <w:p w:rsidR="00824C51" w:rsidRPr="00492A78" w:rsidRDefault="00824C51">
      <w:pPr>
        <w:pStyle w:val="Corpodetexto"/>
        <w:spacing w:before="2"/>
      </w:pPr>
    </w:p>
    <w:p w:rsidR="00824C51" w:rsidRPr="00492A78" w:rsidRDefault="00022CD0">
      <w:pPr>
        <w:ind w:left="162" w:right="120"/>
        <w:jc w:val="both"/>
        <w:rPr>
          <w:sz w:val="24"/>
        </w:rPr>
      </w:pPr>
      <w:r w:rsidRPr="00492A78">
        <w:rPr>
          <w:b/>
          <w:sz w:val="24"/>
        </w:rPr>
        <w:t>Nota 2 – Outras Variações Patrimoniais Aumentativas</w:t>
      </w:r>
      <w:r w:rsidRPr="00492A78">
        <w:rPr>
          <w:sz w:val="24"/>
        </w:rPr>
        <w:t>: compreende o somatório das demais variações patrimoniais aumentativas não incluídas nos grupos anteriores, tais como: resultado positivo da equivalência patrimonial, dividendos.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spacing w:before="1"/>
        <w:ind w:left="162" w:right="121"/>
        <w:jc w:val="both"/>
        <w:rPr>
          <w:sz w:val="24"/>
        </w:rPr>
      </w:pPr>
      <w:r w:rsidRPr="00492A78">
        <w:rPr>
          <w:b/>
          <w:sz w:val="24"/>
        </w:rPr>
        <w:t xml:space="preserve">Nota 3 – Desvalorização e Perdas de Ativos e Incorporação de Passivos: </w:t>
      </w:r>
      <w:r w:rsidRPr="00492A78">
        <w:rPr>
          <w:sz w:val="24"/>
        </w:rPr>
        <w:t>em função da continuidade do cumprimento da implantação dos procedimentos contábeis relativos às Normas Brasileiras de Contabilidade Aplicadas ao Setor Público.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ind w:left="162" w:right="118"/>
        <w:jc w:val="both"/>
        <w:rPr>
          <w:sz w:val="24"/>
        </w:rPr>
      </w:pPr>
      <w:r w:rsidRPr="00492A78">
        <w:rPr>
          <w:b/>
          <w:sz w:val="24"/>
        </w:rPr>
        <w:t xml:space="preserve">Nota 4 – Outras Variações Patrimoniais Diminutivas: </w:t>
      </w:r>
      <w:r w:rsidRPr="00492A78">
        <w:rPr>
          <w:sz w:val="24"/>
        </w:rPr>
        <w:t>compreende o somatório das demais variações patrimoniais diminutivas não incluídas nos grupos anteriores, tais como: resultado negativo da equivalência patrimonial, dividendos.</w:t>
      </w:r>
    </w:p>
    <w:p w:rsidR="00824C51" w:rsidRPr="00492A78" w:rsidRDefault="00824C51">
      <w:pPr>
        <w:pStyle w:val="Corpodetexto"/>
        <w:spacing w:before="11"/>
        <w:rPr>
          <w:sz w:val="23"/>
        </w:rPr>
      </w:pPr>
    </w:p>
    <w:p w:rsidR="00824C51" w:rsidRDefault="00022CD0" w:rsidP="002053D7">
      <w:pPr>
        <w:ind w:left="162" w:right="117"/>
        <w:jc w:val="both"/>
        <w:rPr>
          <w:sz w:val="24"/>
        </w:rPr>
      </w:pPr>
      <w:r w:rsidRPr="00492A78">
        <w:rPr>
          <w:b/>
          <w:sz w:val="24"/>
        </w:rPr>
        <w:t xml:space="preserve">Nota 5 – Resultado Patrimonial do Período: </w:t>
      </w:r>
      <w:r w:rsidRPr="00492A78">
        <w:rPr>
          <w:sz w:val="24"/>
        </w:rPr>
        <w:t xml:space="preserve">como resultado do confronto entre as Variações Patrimoniais Aumentativas e Diminutivas, tem-se que o resultado patrimonial foi positivo de R$ </w:t>
      </w:r>
      <w:r w:rsidR="00067C4E">
        <w:rPr>
          <w:sz w:val="24"/>
        </w:rPr>
        <w:t>2.723.139,56</w:t>
      </w:r>
      <w:r w:rsidRPr="00492A78">
        <w:rPr>
          <w:sz w:val="24"/>
        </w:rPr>
        <w:t>.</w:t>
      </w:r>
    </w:p>
    <w:p w:rsidR="002053D7" w:rsidRPr="00492A78" w:rsidRDefault="002053D7" w:rsidP="002053D7">
      <w:pPr>
        <w:ind w:left="162" w:right="117"/>
        <w:jc w:val="both"/>
        <w:rPr>
          <w:sz w:val="24"/>
        </w:rPr>
        <w:sectPr w:rsidR="002053D7" w:rsidRPr="00492A78">
          <w:pgSz w:w="11910" w:h="16840"/>
          <w:pgMar w:top="1960" w:right="1580" w:bottom="1100" w:left="1540" w:header="532" w:footer="920" w:gutter="0"/>
          <w:cols w:space="720"/>
        </w:sectPr>
      </w:pPr>
    </w:p>
    <w:p w:rsidR="00824C51" w:rsidRPr="00492A78" w:rsidRDefault="00022CD0">
      <w:pPr>
        <w:pStyle w:val="Ttulo1"/>
        <w:ind w:right="1048"/>
      </w:pPr>
      <w:r w:rsidRPr="00492A78">
        <w:lastRenderedPageBreak/>
        <w:t>Notas Explicativas da Demonstração dos Fluxos de Caixa:</w:t>
      </w:r>
    </w:p>
    <w:p w:rsidR="00824C51" w:rsidRPr="00492A78" w:rsidRDefault="00824C51">
      <w:pPr>
        <w:pStyle w:val="Corpodetexto"/>
        <w:spacing w:before="8"/>
        <w:rPr>
          <w:b/>
          <w:sz w:val="23"/>
        </w:rPr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 xml:space="preserve">Nota 1 – Contexto Operacional: </w:t>
      </w:r>
      <w:r w:rsidRPr="00492A78">
        <w:t>A DFC foi elaborada pelo método direto e evidencia as movimentações ocorridas na conta Caixa e Equivalentes de Caixa, segregados nos fluxos das operações, dos investimentos e dos financiamentos, sem considerar aos pagamentos e recebimentos intraorçamentários. O resultado final corresponde à diferença entre os saldos iniciais e finais de Caixa e Equivalentes de Caixa e mantêm compatibilidade com os valores apresentados no Balanço Financeiro.</w:t>
      </w:r>
    </w:p>
    <w:p w:rsidR="00824C51" w:rsidRPr="00492A78" w:rsidRDefault="00824C51">
      <w:pPr>
        <w:pStyle w:val="Corpodetexto"/>
        <w:spacing w:before="2"/>
      </w:pPr>
    </w:p>
    <w:p w:rsidR="00824C51" w:rsidRPr="00492A78" w:rsidRDefault="00022CD0">
      <w:pPr>
        <w:pStyle w:val="Corpodetexto"/>
        <w:ind w:left="162" w:right="118"/>
        <w:jc w:val="both"/>
      </w:pPr>
      <w:r w:rsidRPr="00492A78">
        <w:rPr>
          <w:b/>
        </w:rPr>
        <w:t xml:space="preserve">Nota 2 – Fluxos de Caixa das Atividades Operacionais: </w:t>
      </w:r>
      <w:r w:rsidRPr="00492A78">
        <w:t xml:space="preserve">os ingressos </w:t>
      </w:r>
      <w:r w:rsidRPr="00492A78">
        <w:rPr>
          <w:b/>
        </w:rPr>
        <w:t>c</w:t>
      </w:r>
      <w:r w:rsidRPr="00492A78">
        <w:t>ompreendem as receitas relativas às atividades operacionais líquidas das respectivas deduções e as transferências recebidas. Já os desembolsos compreendem os pagamentos relativos às atividades operacionais, demonstrando-se os desembolsos de pessoal, os juros e encargos sobre a dívida e as transferências</w:t>
      </w:r>
      <w:r w:rsidRPr="00492A78">
        <w:rPr>
          <w:spacing w:val="-2"/>
        </w:rPr>
        <w:t xml:space="preserve"> </w:t>
      </w:r>
      <w:r w:rsidRPr="00492A78">
        <w:t>concedidas.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pStyle w:val="Corpodetexto"/>
        <w:spacing w:before="1"/>
        <w:ind w:left="162" w:right="119"/>
        <w:jc w:val="both"/>
      </w:pPr>
      <w:r w:rsidRPr="00492A78">
        <w:rPr>
          <w:b/>
        </w:rPr>
        <w:t xml:space="preserve">Nota 3 – Fluxos de Caixa das Atividades de Investimento: </w:t>
      </w:r>
      <w:r w:rsidRPr="00492A78">
        <w:t>os ingressos são oriundos de receitas de capital de alienação de ativos e da amortização de empréstimos e financiamentos concedidos. Os desembolsos decorrem do pagamento de despesas de aquisição de ativo não circulante (obras, instalações, equipamentos, material permanente, bens imóveis, títulos de crédito, títulos representativos de capital e constituição ou aumento de capital de empresas), e as concessões de empréstimos e financiamentos.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spacing w:before="1"/>
        <w:ind w:left="162" w:right="119"/>
        <w:jc w:val="both"/>
      </w:pPr>
      <w:r w:rsidRPr="00492A78">
        <w:rPr>
          <w:b/>
        </w:rPr>
        <w:t xml:space="preserve">Nota 4 – Fluxos de Caixa das Atividades de Financiamento: </w:t>
      </w:r>
      <w:r w:rsidRPr="00492A78">
        <w:t>compreendem as obtenções de empréstimos, financiamentos e demais operações de crédito, inclusive o refinanciamento da dívida, bem como as receitas obtidas a partir da integralização do capital social de empresas dependentes. Os desembolsos são decorrentes da amortização e refinanciamento da dívida.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 xml:space="preserve">Nota 5 – Outros Ingressos e Outros Desembolsos: </w:t>
      </w:r>
      <w:r w:rsidRPr="00492A78">
        <w:t>os valores apresentados contemplam recebimentos e pagamentos que não transitam pelo orçamento, mas que afetaram o saldo de Caixa e Equivalentes de Caixa, como as receitas e despesas extraorçamentárias, ajustes de exercícios anteriores no caixa e equivalente de caixa, perdas involuntárias e rendimentos negativos das aplicações financeiras do RPPS.</w:t>
      </w:r>
    </w:p>
    <w:p w:rsidR="00824C51" w:rsidRPr="00492A78" w:rsidRDefault="00824C51">
      <w:pPr>
        <w:pStyle w:val="Corpodetexto"/>
        <w:rPr>
          <w:sz w:val="20"/>
        </w:rPr>
      </w:pPr>
    </w:p>
    <w:p w:rsidR="00824C51" w:rsidRDefault="00824C51">
      <w:pPr>
        <w:pStyle w:val="Corpodetexto"/>
        <w:rPr>
          <w:sz w:val="20"/>
        </w:rPr>
      </w:pPr>
    </w:p>
    <w:p w:rsidR="003D21A6" w:rsidRDefault="003D21A6">
      <w:pPr>
        <w:pStyle w:val="Corpodetexto"/>
        <w:rPr>
          <w:sz w:val="20"/>
        </w:rPr>
      </w:pPr>
    </w:p>
    <w:p w:rsidR="003D21A6" w:rsidRPr="00492A78" w:rsidRDefault="003D21A6">
      <w:pPr>
        <w:pStyle w:val="Corpodetexto"/>
        <w:rPr>
          <w:sz w:val="20"/>
        </w:rPr>
      </w:pPr>
    </w:p>
    <w:p w:rsidR="00FD7363" w:rsidRPr="00492A78" w:rsidRDefault="00FD73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5"/>
        <w:gridCol w:w="4465"/>
      </w:tblGrid>
      <w:tr w:rsidR="00FD7363" w:rsidRPr="00492A78" w:rsidTr="00FD7363">
        <w:tc>
          <w:tcPr>
            <w:tcW w:w="4465" w:type="dxa"/>
          </w:tcPr>
          <w:p w:rsidR="00FD7363" w:rsidRPr="005F6076" w:rsidRDefault="00FD7363" w:rsidP="00FD7363">
            <w:pPr>
              <w:jc w:val="center"/>
              <w:rPr>
                <w:i/>
              </w:rPr>
            </w:pPr>
            <w:r w:rsidRPr="005F6076">
              <w:rPr>
                <w:i/>
              </w:rPr>
              <w:t>GABRIEL JEVINSKI</w:t>
            </w:r>
          </w:p>
          <w:p w:rsidR="00FD7363" w:rsidRPr="00492A78" w:rsidRDefault="00FD7363" w:rsidP="00FD7363">
            <w:pPr>
              <w:jc w:val="center"/>
              <w:rPr>
                <w:b/>
              </w:rPr>
            </w:pPr>
            <w:r w:rsidRPr="00492A78">
              <w:rPr>
                <w:b/>
              </w:rPr>
              <w:t>Prefeito Municipal</w:t>
            </w:r>
          </w:p>
        </w:tc>
        <w:tc>
          <w:tcPr>
            <w:tcW w:w="4465" w:type="dxa"/>
          </w:tcPr>
          <w:p w:rsidR="00FD7363" w:rsidRPr="00492A78" w:rsidRDefault="00FD7363" w:rsidP="00FD7363">
            <w:pPr>
              <w:jc w:val="center"/>
            </w:pPr>
            <w:r w:rsidRPr="00492A78">
              <w:t>VANDERSON DE ALBUQUERQUE</w:t>
            </w:r>
          </w:p>
          <w:p w:rsidR="00FD7363" w:rsidRPr="00492A78" w:rsidRDefault="00FD7363" w:rsidP="00FD7363">
            <w:pPr>
              <w:jc w:val="center"/>
              <w:rPr>
                <w:b/>
              </w:rPr>
            </w:pPr>
            <w:r w:rsidRPr="00492A78">
              <w:rPr>
                <w:b/>
              </w:rPr>
              <w:t>Contador – CRC-RS 071307</w:t>
            </w:r>
          </w:p>
        </w:tc>
      </w:tr>
    </w:tbl>
    <w:p w:rsidR="00FD7363" w:rsidRPr="00492A78" w:rsidRDefault="00FD7363"/>
    <w:sectPr w:rsidR="00FD7363" w:rsidRPr="00492A78" w:rsidSect="000B78E4">
      <w:pgSz w:w="11910" w:h="16840"/>
      <w:pgMar w:top="1960" w:right="1580" w:bottom="1100" w:left="1540" w:header="532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3A" w:rsidRDefault="00A7493A">
      <w:r>
        <w:separator/>
      </w:r>
    </w:p>
  </w:endnote>
  <w:endnote w:type="continuationSeparator" w:id="0">
    <w:p w:rsidR="00A7493A" w:rsidRDefault="00A7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51" w:rsidRDefault="000B78E4">
    <w:pPr>
      <w:pStyle w:val="Corpodetexto"/>
      <w:spacing w:line="14" w:lineRule="auto"/>
      <w:rPr>
        <w:sz w:val="20"/>
      </w:rPr>
    </w:pPr>
    <w:r w:rsidRPr="000B78E4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.7pt;margin-top:785.1pt;width:507.1pt;height:38.8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9grQIAAKk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" filled="f" stroked="f">
          <v:textbox inset="0,0,0,0">
            <w:txbxContent>
              <w:p w:rsidR="00AB6D45" w:rsidRDefault="00AB6D45">
                <w:pPr>
                  <w:pBdr>
                    <w:bottom w:val="single" w:sz="12" w:space="1" w:color="auto"/>
                  </w:pBdr>
                  <w:spacing w:line="142" w:lineRule="exact"/>
                  <w:ind w:left="19" w:right="18"/>
                  <w:jc w:val="center"/>
                  <w:rPr>
                    <w:b/>
                    <w:sz w:val="12"/>
                  </w:rPr>
                </w:pPr>
              </w:p>
              <w:p w:rsidR="009C360A" w:rsidRDefault="009C360A">
                <w:pPr>
                  <w:spacing w:line="142" w:lineRule="exact"/>
                  <w:ind w:left="19" w:right="18"/>
                  <w:jc w:val="center"/>
                  <w:rPr>
                    <w:b/>
                    <w:sz w:val="16"/>
                    <w:szCs w:val="16"/>
                  </w:rPr>
                </w:pPr>
              </w:p>
              <w:p w:rsidR="00824C51" w:rsidRPr="009C360A" w:rsidRDefault="00022CD0">
                <w:pPr>
                  <w:spacing w:line="142" w:lineRule="exact"/>
                  <w:ind w:left="19" w:right="18"/>
                  <w:jc w:val="center"/>
                  <w:rPr>
                    <w:b/>
                    <w:sz w:val="16"/>
                    <w:szCs w:val="16"/>
                  </w:rPr>
                </w:pPr>
                <w:r w:rsidRPr="009C360A">
                  <w:rPr>
                    <w:b/>
                    <w:sz w:val="16"/>
                    <w:szCs w:val="16"/>
                  </w:rPr>
                  <w:t xml:space="preserve">PREFEITURA MUNICIPAL DE </w:t>
                </w:r>
                <w:r w:rsidR="006A1DEC" w:rsidRPr="009C360A">
                  <w:rPr>
                    <w:b/>
                    <w:sz w:val="16"/>
                    <w:szCs w:val="16"/>
                  </w:rPr>
                  <w:t>PAULO B</w:t>
                </w:r>
                <w:r w:rsidR="00AB6D45" w:rsidRPr="009C360A">
                  <w:rPr>
                    <w:b/>
                    <w:sz w:val="16"/>
                    <w:szCs w:val="16"/>
                  </w:rPr>
                  <w:t>ENTO</w:t>
                </w:r>
                <w:r w:rsidRPr="009C360A">
                  <w:rPr>
                    <w:b/>
                    <w:sz w:val="16"/>
                    <w:szCs w:val="16"/>
                  </w:rPr>
                  <w:t xml:space="preserve"> – RS</w:t>
                </w:r>
              </w:p>
              <w:p w:rsidR="00824C51" w:rsidRPr="009C360A" w:rsidRDefault="00022CD0">
                <w:pPr>
                  <w:ind w:left="20" w:right="18"/>
                  <w:jc w:val="center"/>
                  <w:rPr>
                    <w:sz w:val="16"/>
                    <w:szCs w:val="16"/>
                  </w:rPr>
                </w:pPr>
                <w:r w:rsidRPr="009C360A">
                  <w:rPr>
                    <w:sz w:val="16"/>
                    <w:szCs w:val="16"/>
                  </w:rPr>
                  <w:t xml:space="preserve">CNPJ nº </w:t>
                </w:r>
                <w:r w:rsidR="00AB6D45" w:rsidRPr="009C360A">
                  <w:rPr>
                    <w:sz w:val="16"/>
                    <w:szCs w:val="16"/>
                  </w:rPr>
                  <w:t xml:space="preserve">04.215.168/0001-75 </w:t>
                </w:r>
                <w:r w:rsidRPr="009C360A">
                  <w:rPr>
                    <w:sz w:val="16"/>
                    <w:szCs w:val="16"/>
                  </w:rPr>
                  <w:t xml:space="preserve">– </w:t>
                </w:r>
                <w:r w:rsidR="00AB6D45" w:rsidRPr="009C360A">
                  <w:rPr>
                    <w:sz w:val="16"/>
                    <w:szCs w:val="16"/>
                  </w:rPr>
                  <w:t>Av. Irmãs Consolata</w:t>
                </w:r>
                <w:r w:rsidRPr="009C360A">
                  <w:rPr>
                    <w:sz w:val="16"/>
                    <w:szCs w:val="16"/>
                  </w:rPr>
                  <w:t xml:space="preserve">, nº </w:t>
                </w:r>
                <w:r w:rsidR="00AB6D45" w:rsidRPr="009C360A">
                  <w:rPr>
                    <w:sz w:val="16"/>
                    <w:szCs w:val="16"/>
                  </w:rPr>
                  <w:t>189</w:t>
                </w:r>
                <w:r w:rsidRPr="009C360A">
                  <w:rPr>
                    <w:sz w:val="16"/>
                    <w:szCs w:val="16"/>
                  </w:rPr>
                  <w:t xml:space="preserve"> – Centro – CEP: 99.</w:t>
                </w:r>
                <w:r w:rsidR="00AB6D45" w:rsidRPr="009C360A">
                  <w:rPr>
                    <w:sz w:val="16"/>
                    <w:szCs w:val="16"/>
                  </w:rPr>
                  <w:t>718</w:t>
                </w:r>
                <w:r w:rsidRPr="009C360A">
                  <w:rPr>
                    <w:sz w:val="16"/>
                    <w:szCs w:val="16"/>
                  </w:rPr>
                  <w:t xml:space="preserve">-000 Fone: (54) </w:t>
                </w:r>
                <w:r w:rsidR="00AB6D45" w:rsidRPr="009C360A">
                  <w:rPr>
                    <w:sz w:val="16"/>
                    <w:szCs w:val="16"/>
                  </w:rPr>
                  <w:t>3613-0075</w:t>
                </w:r>
                <w:r w:rsidRPr="009C360A">
                  <w:rPr>
                    <w:sz w:val="16"/>
                    <w:szCs w:val="16"/>
                  </w:rPr>
                  <w:t xml:space="preserve"> – </w:t>
                </w:r>
                <w:hyperlink r:id="rId1" w:history="1">
                  <w:r w:rsidR="00AB6D45" w:rsidRPr="009C360A">
                    <w:rPr>
                      <w:rStyle w:val="Hyperlink"/>
                      <w:sz w:val="16"/>
                      <w:szCs w:val="16"/>
                    </w:rPr>
                    <w:t>www.paulobento.rs.gov.br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3A" w:rsidRDefault="00A7493A">
      <w:r>
        <w:separator/>
      </w:r>
    </w:p>
  </w:footnote>
  <w:footnote w:type="continuationSeparator" w:id="0">
    <w:p w:rsidR="00A7493A" w:rsidRDefault="00A74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C5" w:rsidRDefault="00FB63C5" w:rsidP="00FB63C5">
    <w:pPr>
      <w:ind w:left="1928"/>
      <w:rPr>
        <w:rFonts w:ascii="Bookman Old Style" w:hAnsi="Bookman Old Style"/>
        <w:b/>
        <w:sz w:val="25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-235585</wp:posOffset>
          </wp:positionV>
          <wp:extent cx="896620" cy="1125220"/>
          <wp:effectExtent l="0" t="0" r="0" b="0"/>
          <wp:wrapSquare wrapText="largest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25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5"/>
      </w:rPr>
      <w:t>Estado do Rio Grande do Sul</w:t>
    </w:r>
  </w:p>
  <w:p w:rsidR="00824C51" w:rsidRDefault="00FB63C5" w:rsidP="00FB63C5">
    <w:pPr>
      <w:ind w:left="1928"/>
      <w:rPr>
        <w:sz w:val="20"/>
      </w:rPr>
    </w:pPr>
    <w:r>
      <w:rPr>
        <w:rFonts w:ascii="Bookman Old Style" w:hAnsi="Bookman Old Style"/>
        <w:b/>
        <w:sz w:val="25"/>
      </w:rPr>
      <w:t>MUNICÍPIO DE PAULO BENTO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4C51"/>
    <w:rsid w:val="00022CD0"/>
    <w:rsid w:val="00027128"/>
    <w:rsid w:val="00067C4E"/>
    <w:rsid w:val="000B449C"/>
    <w:rsid w:val="000B78E4"/>
    <w:rsid w:val="000D02FC"/>
    <w:rsid w:val="001013F9"/>
    <w:rsid w:val="001F61A5"/>
    <w:rsid w:val="002053D7"/>
    <w:rsid w:val="00301C90"/>
    <w:rsid w:val="00347969"/>
    <w:rsid w:val="003D21A6"/>
    <w:rsid w:val="00424A42"/>
    <w:rsid w:val="00485E60"/>
    <w:rsid w:val="00492A78"/>
    <w:rsid w:val="004E465A"/>
    <w:rsid w:val="0050597F"/>
    <w:rsid w:val="005262B8"/>
    <w:rsid w:val="00544EE6"/>
    <w:rsid w:val="005920F8"/>
    <w:rsid w:val="005F6076"/>
    <w:rsid w:val="00614788"/>
    <w:rsid w:val="00617D44"/>
    <w:rsid w:val="006A1DEC"/>
    <w:rsid w:val="006B059E"/>
    <w:rsid w:val="0078451D"/>
    <w:rsid w:val="008122A4"/>
    <w:rsid w:val="00824C51"/>
    <w:rsid w:val="008A6440"/>
    <w:rsid w:val="0097662E"/>
    <w:rsid w:val="00980015"/>
    <w:rsid w:val="009C360A"/>
    <w:rsid w:val="00A43971"/>
    <w:rsid w:val="00A6619A"/>
    <w:rsid w:val="00A7493A"/>
    <w:rsid w:val="00A933DD"/>
    <w:rsid w:val="00AB6D45"/>
    <w:rsid w:val="00AC5703"/>
    <w:rsid w:val="00B52A0B"/>
    <w:rsid w:val="00BC504C"/>
    <w:rsid w:val="00BF6021"/>
    <w:rsid w:val="00C062D1"/>
    <w:rsid w:val="00D74484"/>
    <w:rsid w:val="00E027F9"/>
    <w:rsid w:val="00E97F54"/>
    <w:rsid w:val="00EE4967"/>
    <w:rsid w:val="00F97F2C"/>
    <w:rsid w:val="00FB3BD6"/>
    <w:rsid w:val="00FB63C5"/>
    <w:rsid w:val="00FD43A2"/>
    <w:rsid w:val="00FD65DC"/>
    <w:rsid w:val="00F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8E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0B78E4"/>
    <w:pPr>
      <w:spacing w:before="229"/>
      <w:ind w:left="10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78E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B78E4"/>
  </w:style>
  <w:style w:type="paragraph" w:customStyle="1" w:styleId="TableParagraph">
    <w:name w:val="Table Paragraph"/>
    <w:basedOn w:val="Normal"/>
    <w:uiPriority w:val="1"/>
    <w:qFormat/>
    <w:rsid w:val="000B78E4"/>
    <w:pPr>
      <w:spacing w:line="164" w:lineRule="exact"/>
      <w:ind w:left="50"/>
    </w:pPr>
  </w:style>
  <w:style w:type="paragraph" w:styleId="Cabealho">
    <w:name w:val="header"/>
    <w:basedOn w:val="Normal"/>
    <w:link w:val="CabealhoChar"/>
    <w:unhideWhenUsed/>
    <w:rsid w:val="00FB63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63C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63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63C5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B6D4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D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29"/>
      <w:ind w:left="10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50"/>
    </w:pPr>
  </w:style>
  <w:style w:type="paragraph" w:styleId="Cabealho">
    <w:name w:val="header"/>
    <w:basedOn w:val="Normal"/>
    <w:link w:val="CabealhoChar"/>
    <w:unhideWhenUsed/>
    <w:rsid w:val="00FB63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63C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63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63C5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B6D4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D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obent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2156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Daniel</cp:lastModifiedBy>
  <cp:revision>2</cp:revision>
  <cp:lastPrinted>2022-02-21T12:06:00Z</cp:lastPrinted>
  <dcterms:created xsi:type="dcterms:W3CDTF">2022-03-28T12:01:00Z</dcterms:created>
  <dcterms:modified xsi:type="dcterms:W3CDTF">2022-03-28T12:01:00Z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2019-02-25T00:00:00Z</vt:filetime>
  </property>
</Properties>
</file>