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0" w:rsidRDefault="00785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33350" distR="120650" simplePos="0" relativeHeight="251657216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85E">
        <w:rPr>
          <w:rFonts w:ascii="Times New Roman" w:hAnsi="Times New Roman" w:cs="Times New Roman"/>
          <w:b/>
        </w:rPr>
        <w:t xml:space="preserve">   </w:t>
      </w:r>
    </w:p>
    <w:p w:rsidR="000113E0" w:rsidRDefault="00785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107950</wp:posOffset>
            </wp:positionV>
            <wp:extent cx="1861820" cy="657225"/>
            <wp:effectExtent l="19050" t="0" r="5080" b="0"/>
            <wp:wrapNone/>
            <wp:docPr id="2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E0" w:rsidRDefault="00EF78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ESTADO DO RIO GANDE DO SUL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PREFEITURA MUNICIPAL DE PAULO BENTO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Sistema Municipal de Ensino</w:t>
      </w:r>
    </w:p>
    <w:p w:rsidR="000113E0" w:rsidRDefault="00EF785E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Conselho Municipal de Educação</w:t>
      </w:r>
    </w:p>
    <w:p w:rsidR="000113E0" w:rsidRDefault="00CE4734">
      <w:pPr>
        <w:pStyle w:val="Cabealho"/>
      </w:pPr>
      <w:hyperlink r:id="rId9">
        <w:r w:rsidR="00EF785E">
          <w:rPr>
            <w:rStyle w:val="LinkdaInternet"/>
            <w:rFonts w:ascii="Cambria" w:hAnsi="Cambria"/>
            <w:b/>
          </w:rPr>
          <w:t>cme@paulobento.rs.gov.br</w:t>
        </w:r>
      </w:hyperlink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07B6" w:rsidRPr="00991788" w:rsidRDefault="00EA07B6" w:rsidP="00EA07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7F353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785ABA">
        <w:rPr>
          <w:rFonts w:ascii="Bookman Old Style" w:hAnsi="Bookman Old Style" w:cs="Times New Roman"/>
          <w:b/>
          <w:sz w:val="24"/>
          <w:szCs w:val="24"/>
        </w:rPr>
        <w:t>003, de 03 de janeiro de 2023.</w:t>
      </w:r>
    </w:p>
    <w:p w:rsidR="000113E0" w:rsidRDefault="000113E0">
      <w:pPr>
        <w:tabs>
          <w:tab w:val="left" w:pos="7619"/>
        </w:tabs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EF785E">
      <w:pPr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 do Calendário E</w:t>
      </w:r>
      <w:r w:rsidR="00785ABA">
        <w:rPr>
          <w:rFonts w:ascii="Bookman Old Style" w:hAnsi="Bookman Old Style" w:cs="Times New Roman"/>
          <w:b/>
          <w:bCs/>
          <w:iCs/>
          <w:sz w:val="24"/>
          <w:szCs w:val="24"/>
        </w:rPr>
        <w:t>scolar para o Ano Letivo de 2023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, dos Estabelecimentos de Ensino, componentes do Sistema Municipal de Ensino de Paulo </w:t>
      </w:r>
      <w:proofErr w:type="spellStart"/>
      <w:r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0113E0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113E0" w:rsidRDefault="00EF785E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n°. 1.616, de 14 de setembro de 2016, que instituiu o Sistema  Municipal de Ensino e pela Lei Municipal nº. 1.617 de 14 de setembro de 2016 que reestruturou este Conselho, plenária do dia 03 de fevereiro de 2021, registrada na Ata da Reunião</w:t>
      </w:r>
      <w:r w:rsidR="0007332E">
        <w:rPr>
          <w:rFonts w:ascii="Bookman Old Style" w:hAnsi="Bookman Old Style" w:cs="Times New Roman"/>
          <w:sz w:val="24"/>
          <w:szCs w:val="24"/>
        </w:rPr>
        <w:t xml:space="preserve"> CME nº.0</w:t>
      </w:r>
      <w:r w:rsidR="00785ABA">
        <w:rPr>
          <w:rFonts w:ascii="Bookman Old Style" w:hAnsi="Bookman Old Style" w:cs="Times New Roman"/>
          <w:sz w:val="24"/>
          <w:szCs w:val="24"/>
        </w:rPr>
        <w:t>01</w:t>
      </w:r>
      <w:r w:rsidR="0007332E">
        <w:rPr>
          <w:rFonts w:ascii="Bookman Old Style" w:hAnsi="Bookman Old Style" w:cs="Times New Roman"/>
          <w:sz w:val="24"/>
          <w:szCs w:val="24"/>
        </w:rPr>
        <w:t xml:space="preserve"> de </w:t>
      </w:r>
      <w:r w:rsidR="00785ABA">
        <w:rPr>
          <w:rFonts w:ascii="Bookman Old Style" w:hAnsi="Bookman Old Style" w:cs="Times New Roman"/>
          <w:sz w:val="24"/>
          <w:szCs w:val="24"/>
        </w:rPr>
        <w:t>03 de janeiro de 2023</w:t>
      </w:r>
      <w:r>
        <w:rPr>
          <w:rFonts w:ascii="Bookman Old Style" w:hAnsi="Bookman Old Style" w:cs="Times New Roman"/>
          <w:sz w:val="24"/>
          <w:szCs w:val="24"/>
        </w:rPr>
        <w:t>, em consonância com a legislação vigente, Lei Federal nº 9394/96, Parecer CNE/CEB nº 38/2002 e Parecer CEB nº. 05/19</w:t>
      </w:r>
      <w:r w:rsidR="00557F5B">
        <w:rPr>
          <w:rFonts w:ascii="Bookman Old Style" w:hAnsi="Bookman Old Style" w:cs="Times New Roman"/>
          <w:sz w:val="24"/>
          <w:szCs w:val="24"/>
        </w:rPr>
        <w:t>97, Parecer CNE/CP nº. 11/2020</w:t>
      </w:r>
      <w:r>
        <w:rPr>
          <w:rFonts w:ascii="Bookman Old Style" w:hAnsi="Bookman Old Style" w:cs="Times New Roman"/>
          <w:sz w:val="24"/>
          <w:szCs w:val="24"/>
        </w:rPr>
        <w:t>, Decreto Estadual nº. 55.184/2020.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>
        <w:rPr>
          <w:rFonts w:ascii="Bookman Old Style" w:hAnsi="Bookman Old Style" w:cs="Times New Roman"/>
          <w:bCs/>
          <w:sz w:val="24"/>
          <w:szCs w:val="24"/>
        </w:rPr>
        <w:t>Aprovar o Calendário E</w:t>
      </w:r>
      <w:r w:rsidR="00785ABA">
        <w:rPr>
          <w:rFonts w:ascii="Bookman Old Style" w:hAnsi="Bookman Old Style" w:cs="Times New Roman"/>
          <w:bCs/>
          <w:sz w:val="24"/>
          <w:szCs w:val="24"/>
        </w:rPr>
        <w:t>scolar para o Ano Letivo de 2023</w:t>
      </w:r>
      <w:r>
        <w:rPr>
          <w:rFonts w:ascii="Bookman Old Style" w:hAnsi="Bookman Old Style" w:cs="Times New Roman"/>
          <w:bCs/>
          <w:sz w:val="24"/>
          <w:szCs w:val="24"/>
        </w:rPr>
        <w:t xml:space="preserve">, dos Estabelecimentos de Ensino componentes do Sistema Municipal de Ensino de </w:t>
      </w:r>
      <w:r w:rsidR="00785ABA">
        <w:rPr>
          <w:rFonts w:ascii="Bookman Old Style" w:hAnsi="Bookman Old Style" w:cs="Times New Roman"/>
          <w:bCs/>
          <w:sz w:val="24"/>
          <w:szCs w:val="24"/>
        </w:rPr>
        <w:t>Paulo Bento-RS, conforme consta o Anexo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I</w:t>
      </w:r>
      <w:r w:rsidR="00785ABA">
        <w:rPr>
          <w:rFonts w:ascii="Bookman Old Style" w:hAnsi="Bookman Old Style" w:cs="Times New Roman"/>
          <w:bCs/>
          <w:sz w:val="24"/>
          <w:szCs w:val="24"/>
        </w:rPr>
        <w:t>,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par</w:t>
      </w:r>
      <w:r w:rsidR="00785ABA">
        <w:rPr>
          <w:rFonts w:ascii="Bookman Old Style" w:hAnsi="Bookman Old Style" w:cs="Times New Roman"/>
          <w:bCs/>
          <w:sz w:val="24"/>
          <w:szCs w:val="24"/>
        </w:rPr>
        <w:t>te integrante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desta Resolução.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0113E0" w:rsidRDefault="00EF785E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</w:rPr>
        <w:t>Art</w:t>
      </w:r>
      <w:r w:rsidR="00785ABA">
        <w:rPr>
          <w:rFonts w:ascii="Bookman Old Style" w:hAnsi="Bookman Old Style" w:cs="Times New Roman"/>
          <w:b/>
          <w:bCs/>
        </w:rPr>
        <w:t>. 2</w:t>
      </w:r>
      <w:r>
        <w:rPr>
          <w:rFonts w:ascii="Bookman Old Style" w:hAnsi="Bookman Old Style" w:cs="Times New Roman"/>
          <w:b/>
          <w:bCs/>
        </w:rPr>
        <w:t xml:space="preserve">° – </w:t>
      </w:r>
      <w:r>
        <w:rPr>
          <w:rFonts w:ascii="Bookman Old Style" w:hAnsi="Bookman Old Style" w:cs="Times New Roman"/>
          <w:bCs/>
        </w:rPr>
        <w:t>No decorrer do ano, qualquer alteração nos calendários escolares homologados, independentemente do motivo que a tenha determinado, deverá, após manifestação do Conselho de Escolar ou Círculo de Pais e Mestres, quando não houver Conselho Escolar constituído, constada em Ata específica, e Termo encaminhado ser submetido à apreciação da Secretaria e Conselho e à nova homologação, num prazo impreterivelmente mínimo de quinze (15) dias antes da data a ser alterada.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  <w:bCs/>
        </w:rPr>
      </w:pPr>
    </w:p>
    <w:p w:rsidR="000113E0" w:rsidRDefault="00785AB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</w:rPr>
        <w:t>Art. 3</w:t>
      </w:r>
      <w:r w:rsidR="00EF785E">
        <w:rPr>
          <w:rFonts w:ascii="Bookman Old Style" w:hAnsi="Bookman Old Style" w:cs="Times New Roman"/>
          <w:b/>
          <w:bCs/>
        </w:rPr>
        <w:t xml:space="preserve">° – </w:t>
      </w:r>
      <w:r w:rsidR="00EF785E">
        <w:rPr>
          <w:rFonts w:ascii="Bookman Old Style" w:hAnsi="Bookman Old Style" w:cs="Times New Roman"/>
        </w:rPr>
        <w:t>A presente Resolução entra em vigor na data de sua aprovação.</w:t>
      </w:r>
    </w:p>
    <w:p w:rsidR="000113E0" w:rsidRDefault="000113E0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0113E0" w:rsidRDefault="00EF785E">
      <w:pPr>
        <w:spacing w:line="240" w:lineRule="auto"/>
        <w:jc w:val="both"/>
      </w:pPr>
      <w:r>
        <w:rPr>
          <w:rFonts w:ascii="Bookman Old Style" w:eastAsia="Arial" w:hAnsi="Bookman Old Style" w:cs="Times New Roman"/>
          <w:i/>
        </w:rPr>
        <w:t xml:space="preserve">Aprovado por unanimidade pelos presentes, na Sessão Plenária Ordinária do dia </w:t>
      </w:r>
      <w:r w:rsidR="00785ABA">
        <w:rPr>
          <w:rFonts w:ascii="Bookman Old Style" w:eastAsia="Arial" w:hAnsi="Bookman Old Style" w:cs="Times New Roman"/>
          <w:i/>
        </w:rPr>
        <w:t>03 de janeiro de 2023</w:t>
      </w:r>
      <w:r>
        <w:rPr>
          <w:rFonts w:ascii="Bookman Old Style" w:eastAsia="Arial" w:hAnsi="Bookman Old Style" w:cs="Times New Roman"/>
          <w:i/>
        </w:rPr>
        <w:t>.</w:t>
      </w:r>
    </w:p>
    <w:p w:rsidR="000113E0" w:rsidRDefault="000113E0">
      <w:pPr>
        <w:spacing w:line="240" w:lineRule="auto"/>
        <w:jc w:val="both"/>
        <w:rPr>
          <w:rFonts w:ascii="Bookman Old Style" w:eastAsia="Arial" w:hAnsi="Bookman Old Style" w:cs="Times New Roman"/>
        </w:rPr>
      </w:pP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785ABA" w:rsidRPr="000D0C9E" w:rsidRDefault="00785ABA" w:rsidP="00785ABA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7"/>
        <w:gridCol w:w="4658"/>
      </w:tblGrid>
      <w:tr w:rsidR="00785ABA" w:rsidRPr="000D0C9E" w:rsidTr="00AF43C8">
        <w:trPr>
          <w:trHeight w:val="366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785ABA" w:rsidRPr="000D0C9E" w:rsidTr="00AF43C8">
        <w:trPr>
          <w:trHeight w:val="2965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Cristiane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Avozani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Ediana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Longhi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Maria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Juliana Bortolin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Priscila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Farikoski</w:t>
            </w:r>
            <w:proofErr w:type="spellEnd"/>
          </w:p>
          <w:p w:rsidR="00785ABA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Kelem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Macari</w:t>
            </w:r>
            <w:proofErr w:type="spellEnd"/>
          </w:p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Liamara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Aparecida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Dorigon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Levandoski</w:t>
            </w:r>
            <w:proofErr w:type="spellEnd"/>
          </w:p>
        </w:tc>
      </w:tr>
      <w:tr w:rsidR="00785ABA" w:rsidRPr="000D0C9E" w:rsidTr="00AF43C8">
        <w:trPr>
          <w:trHeight w:val="380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785ABA" w:rsidRPr="000D0C9E" w:rsidTr="00AF43C8">
        <w:trPr>
          <w:trHeight w:val="666"/>
        </w:trPr>
        <w:tc>
          <w:tcPr>
            <w:tcW w:w="4666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85ABA" w:rsidRPr="000D0C9E" w:rsidRDefault="00785ABA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785ABA" w:rsidRPr="000D0C9E" w:rsidRDefault="00785ABA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785ABA" w:rsidRPr="000D0C9E" w:rsidRDefault="00785ABA" w:rsidP="00AF43C8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0113E0" w:rsidRDefault="000113E0">
      <w:pPr>
        <w:sectPr w:rsidR="000113E0" w:rsidSect="00557F5B">
          <w:footerReference w:type="default" r:id="rId10"/>
          <w:pgSz w:w="11906" w:h="16838"/>
          <w:pgMar w:top="851" w:right="1416" w:bottom="1417" w:left="1701" w:header="0" w:footer="708" w:gutter="0"/>
          <w:cols w:space="720"/>
          <w:formProt w:val="0"/>
          <w:docGrid w:linePitch="360" w:charSpace="4096"/>
        </w:sectPr>
      </w:pPr>
    </w:p>
    <w:p w:rsidR="00785ABA" w:rsidRPr="00557F5B" w:rsidRDefault="00785ABA" w:rsidP="00785ABA">
      <w:pPr>
        <w:pStyle w:val="Standard"/>
        <w:jc w:val="center"/>
        <w:rPr>
          <w:rFonts w:ascii="Arial" w:hAnsi="Arial"/>
          <w:b/>
          <w:bCs/>
          <w:sz w:val="44"/>
          <w:szCs w:val="44"/>
        </w:rPr>
      </w:pPr>
      <w:r w:rsidRPr="00557F5B">
        <w:rPr>
          <w:rFonts w:ascii="Arial" w:hAnsi="Arial"/>
          <w:b/>
          <w:bCs/>
          <w:sz w:val="44"/>
          <w:szCs w:val="44"/>
        </w:rPr>
        <w:lastRenderedPageBreak/>
        <w:t>Anexo I</w:t>
      </w:r>
    </w:p>
    <w:p w:rsidR="00557F5B" w:rsidRDefault="00557F5B" w:rsidP="00785ABA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785ABA" w:rsidRPr="00557F5B" w:rsidRDefault="00785ABA" w:rsidP="00785ABA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00557F5B">
        <w:rPr>
          <w:rFonts w:ascii="Arial" w:hAnsi="Arial"/>
          <w:b/>
          <w:bCs/>
          <w:sz w:val="28"/>
          <w:szCs w:val="28"/>
        </w:rPr>
        <w:t>CALENDÁRIO LETIVO 2023</w:t>
      </w: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35"/>
      </w:tblGrid>
      <w:tr w:rsidR="00785ABA" w:rsidTr="00AF43C8">
        <w:trPr>
          <w:trHeight w:val="270"/>
        </w:trPr>
        <w:tc>
          <w:tcPr>
            <w:tcW w:w="1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557E69">
              <w:rPr>
                <w:rFonts w:ascii="Arial" w:hAnsi="Arial"/>
                <w:b/>
                <w:bCs/>
              </w:rPr>
              <w:t>ESCOLAS DO SISTEMA MUNICIPAL DE EDUCAÇÃO VALÉRIO SCHILLO E MONTEIRO LOBATO</w:t>
            </w:r>
          </w:p>
        </w:tc>
      </w:tr>
    </w:tbl>
    <w:p w:rsidR="00785ABA" w:rsidRPr="0045621E" w:rsidRDefault="00785ABA" w:rsidP="00785ABA">
      <w:pPr>
        <w:rPr>
          <w:vanish/>
        </w:rPr>
      </w:pPr>
    </w:p>
    <w:p w:rsidR="00785ABA" w:rsidRPr="00706A87" w:rsidRDefault="00785ABA" w:rsidP="00785ABA">
      <w:pPr>
        <w:rPr>
          <w:vanish/>
        </w:rPr>
      </w:pPr>
    </w:p>
    <w:tbl>
      <w:tblPr>
        <w:tblW w:w="1573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851"/>
        <w:gridCol w:w="850"/>
        <w:gridCol w:w="709"/>
        <w:gridCol w:w="851"/>
        <w:gridCol w:w="992"/>
        <w:gridCol w:w="1134"/>
        <w:gridCol w:w="709"/>
        <w:gridCol w:w="1134"/>
        <w:gridCol w:w="850"/>
        <w:gridCol w:w="992"/>
        <w:gridCol w:w="1276"/>
        <w:gridCol w:w="992"/>
        <w:gridCol w:w="2410"/>
      </w:tblGrid>
      <w:tr w:rsidR="00785ABA" w:rsidRPr="00706A87" w:rsidTr="00AF43C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FEV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ABR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JUN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JUL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OUT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NOV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DEZ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center"/>
              <w:rPr>
                <w:rFonts w:ascii="Arial" w:hAnsi="Arial"/>
                <w:b/>
                <w:bCs/>
                <w:cap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caps/>
                <w:sz w:val="22"/>
                <w:szCs w:val="22"/>
              </w:rPr>
              <w:t>SUB TOTAL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tabs>
                <w:tab w:val="left" w:pos="2428"/>
              </w:tabs>
              <w:jc w:val="center"/>
              <w:rPr>
                <w:rFonts w:ascii="Arial" w:hAnsi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total de dias letivos</w:t>
            </w:r>
          </w:p>
        </w:tc>
      </w:tr>
      <w:tr w:rsidR="00785ABA" w:rsidRPr="00706A87" w:rsidTr="00AF43C8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Dias Letivos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06A8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785ABA" w:rsidRPr="00706A87" w:rsidTr="00AF43C8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Feriados e Recesso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21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08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07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02 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785ABA" w:rsidRPr="00706A87" w:rsidTr="00AF43C8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Recesso Estudantes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ind w:right="171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 a 30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785ABA" w:rsidRPr="00706A87" w:rsidTr="00AF43C8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 xml:space="preserve">Recesso Professores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Até 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24 a 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Inicia 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785ABA" w:rsidRPr="00706A87" w:rsidTr="00AF43C8">
        <w:trPr>
          <w:trHeight w:val="599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Entrega Pareceres e Boletins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right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785ABA" w:rsidRPr="00C43EAA" w:rsidRDefault="00785ABA" w:rsidP="00AF43C8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C43EA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785ABA" w:rsidRPr="00706A87" w:rsidTr="00AF43C8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Eventos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 xml:space="preserve"> Extracurriculare</w:t>
            </w: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16</w:t>
            </w:r>
          </w:p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Festa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Junina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15</w:t>
            </w: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Dia da Família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7 de setembro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17</w:t>
            </w:r>
          </w:p>
          <w:p w:rsidR="00785ABA" w:rsidRDefault="00785ABA" w:rsidP="00AF43C8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Noite </w:t>
            </w:r>
          </w:p>
          <w:p w:rsidR="00785ABA" w:rsidRPr="00706A87" w:rsidRDefault="00785ABA" w:rsidP="00AF43C8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Artística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08 Formatura Educação Infantil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  <w:tr w:rsidR="00785ABA" w:rsidRPr="00706A87" w:rsidTr="00AF43C8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  <w:t>Formação Pedagógica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785ABA" w:rsidRPr="00706A87" w:rsidRDefault="00785ABA" w:rsidP="00AF43C8">
            <w:pPr>
              <w:pStyle w:val="TableContents"/>
              <w:jc w:val="center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</w:tc>
      </w:tr>
    </w:tbl>
    <w:p w:rsidR="00785ABA" w:rsidRDefault="00785ABA" w:rsidP="00785AB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85ABA" w:rsidRPr="00706A87" w:rsidRDefault="00785ABA" w:rsidP="00785ABA">
      <w:pPr>
        <w:pStyle w:val="Standard"/>
        <w:jc w:val="both"/>
        <w:rPr>
          <w:rFonts w:ascii="Arial" w:hAnsi="Arial"/>
          <w:sz w:val="22"/>
          <w:szCs w:val="22"/>
        </w:rPr>
      </w:pPr>
      <w:r w:rsidRPr="00706A87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BSERVAÇÕES:</w:t>
      </w:r>
    </w:p>
    <w:p w:rsidR="00785ABA" w:rsidRPr="00706A87" w:rsidRDefault="00785ABA" w:rsidP="00785ABA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735" w:type="dxa"/>
        <w:tblInd w:w="-229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80"/>
        <w:gridCol w:w="7955"/>
      </w:tblGrid>
      <w:tr w:rsidR="00785ABA" w:rsidRPr="00706A87" w:rsidTr="00AF43C8">
        <w:tc>
          <w:tcPr>
            <w:tcW w:w="7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INÍCIO DAS ATIVIDADES COM OS ESTUDANTES:</w:t>
            </w:r>
          </w:p>
          <w:p w:rsidR="00785ABA" w:rsidRPr="00FE3765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22 de fevereiro de 2023</w:t>
            </w:r>
          </w:p>
          <w:p w:rsidR="00785ABA" w:rsidRPr="00706A87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>RETORNO DAS ATIVIDADES COM OS ESTUDANTES:</w:t>
            </w:r>
          </w:p>
          <w:p w:rsidR="00785ABA" w:rsidRPr="00706A87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 de julho de 2023.</w:t>
            </w:r>
          </w:p>
        </w:tc>
      </w:tr>
      <w:tr w:rsidR="00785ABA" w:rsidRPr="00706A87" w:rsidTr="00AF43C8">
        <w:tc>
          <w:tcPr>
            <w:tcW w:w="7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t xml:space="preserve">ENCERRAMNETO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 ANO LETIVO COM OS ESTUDANTES:</w:t>
            </w:r>
          </w:p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de dezembro de 2023</w:t>
            </w:r>
          </w:p>
          <w:p w:rsidR="00785ABA" w:rsidRPr="00706A87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557E69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7E69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ENCERRAMENTO DO ANO LETIVO COM OS ESTUDANTES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:rsidR="00785ABA" w:rsidRPr="00706A87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de dezembro de 2023</w:t>
            </w:r>
          </w:p>
        </w:tc>
      </w:tr>
      <w:tr w:rsidR="00785ABA" w:rsidRPr="00706A87" w:rsidTr="00AF43C8">
        <w:tc>
          <w:tcPr>
            <w:tcW w:w="7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3A68" w:rsidRDefault="00785ABA" w:rsidP="00AF43C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ENTREGA DE PARECERES E BOLETINS ENSINO FUNDAMENTAL:</w:t>
            </w:r>
          </w:p>
          <w:p w:rsidR="00785ABA" w:rsidRPr="00703A68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 xml:space="preserve">1º </w:t>
            </w:r>
            <w:r>
              <w:rPr>
                <w:rFonts w:ascii="Arial" w:hAnsi="Arial"/>
                <w:sz w:val="22"/>
                <w:szCs w:val="22"/>
              </w:rPr>
              <w:t>Trimestre: 02 de junho de 2023</w:t>
            </w:r>
          </w:p>
          <w:p w:rsidR="00785ABA" w:rsidRPr="00703A68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2º</w:t>
            </w:r>
            <w:r>
              <w:rPr>
                <w:rFonts w:ascii="Arial" w:hAnsi="Arial"/>
                <w:sz w:val="22"/>
                <w:szCs w:val="22"/>
              </w:rPr>
              <w:t xml:space="preserve"> Trimestre: 08 de setembro de 2023</w:t>
            </w:r>
          </w:p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3º Trimestre: 15 dezembro de 2023</w:t>
            </w:r>
          </w:p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Pr="00703A68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ORGANIZAÇÃO DOS TRIMESTRES – ENSINO FUNDAMENTAL:</w:t>
            </w:r>
          </w:p>
          <w:p w:rsidR="00785ABA" w:rsidRPr="00703A68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1º Trimestre: 22/02 a 31</w:t>
            </w:r>
            <w:r w:rsidRPr="00703A68">
              <w:rPr>
                <w:rFonts w:ascii="Arial" w:hAnsi="Arial"/>
                <w:sz w:val="22"/>
                <w:szCs w:val="22"/>
              </w:rPr>
              <w:t>/05</w:t>
            </w:r>
            <w:r>
              <w:rPr>
                <w:rFonts w:ascii="Arial" w:hAnsi="Arial"/>
                <w:sz w:val="22"/>
                <w:szCs w:val="22"/>
              </w:rPr>
              <w:t xml:space="preserve"> = 68 dias letivos </w:t>
            </w:r>
          </w:p>
          <w:p w:rsidR="00785ABA" w:rsidRPr="00703A68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2º Trimestre: 01/06 a 08</w:t>
            </w:r>
            <w:r w:rsidRPr="00703A68">
              <w:rPr>
                <w:rFonts w:ascii="Arial" w:hAnsi="Arial"/>
                <w:sz w:val="22"/>
                <w:szCs w:val="22"/>
              </w:rPr>
              <w:t>/09</w:t>
            </w:r>
            <w:r>
              <w:rPr>
                <w:rFonts w:ascii="Arial" w:hAnsi="Arial"/>
                <w:sz w:val="22"/>
                <w:szCs w:val="22"/>
              </w:rPr>
              <w:t xml:space="preserve"> = 66 dias letivos </w:t>
            </w:r>
          </w:p>
          <w:p w:rsidR="00785ABA" w:rsidRPr="00706A87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703A68">
              <w:rPr>
                <w:rFonts w:ascii="Arial" w:hAnsi="Arial"/>
                <w:sz w:val="22"/>
                <w:szCs w:val="22"/>
              </w:rPr>
              <w:t>3º T</w:t>
            </w:r>
            <w:r>
              <w:rPr>
                <w:rFonts w:ascii="Arial" w:hAnsi="Arial"/>
                <w:sz w:val="22"/>
                <w:szCs w:val="22"/>
              </w:rPr>
              <w:t>rimestre: 11/09 a 15</w:t>
            </w:r>
            <w:r w:rsidRPr="00703A68">
              <w:rPr>
                <w:rFonts w:ascii="Arial" w:hAnsi="Arial"/>
                <w:sz w:val="22"/>
                <w:szCs w:val="22"/>
              </w:rPr>
              <w:t>/12</w:t>
            </w:r>
            <w:r>
              <w:rPr>
                <w:rFonts w:ascii="Arial" w:hAnsi="Arial"/>
                <w:sz w:val="22"/>
                <w:szCs w:val="22"/>
              </w:rPr>
              <w:t xml:space="preserve"> = 66 dias letivos </w:t>
            </w:r>
          </w:p>
        </w:tc>
      </w:tr>
      <w:tr w:rsidR="00785ABA" w:rsidRPr="00706A87" w:rsidTr="00AF43C8">
        <w:tc>
          <w:tcPr>
            <w:tcW w:w="7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ENTREGA DE PARECERES EDUCAÇÃO INFANTIL: </w:t>
            </w:r>
          </w:p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1° Semestre: 21 de julho de 2023 </w:t>
            </w:r>
          </w:p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2° Semestre: 15 de dezembro de 2023</w:t>
            </w:r>
          </w:p>
          <w:p w:rsidR="00785ABA" w:rsidRPr="002B50A0" w:rsidRDefault="00785ABA" w:rsidP="00AF43C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ORGANIZAÇÃO DOS SEMESTRES – EDUCAÇÃO INFANTIL:</w:t>
            </w:r>
          </w:p>
          <w:p w:rsidR="00785ABA" w:rsidRDefault="00785ABA" w:rsidP="00AF43C8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1°Semestre: 22/02 a 31/07 = 105 dias </w:t>
            </w:r>
          </w:p>
          <w:p w:rsidR="00785ABA" w:rsidRPr="0002526D" w:rsidRDefault="00785ABA" w:rsidP="00AF43C8">
            <w:pPr>
              <w:pStyle w:val="TableContents"/>
              <w:jc w:val="both"/>
              <w:rPr>
                <w:rFonts w:ascii="Arial" w:hAnsi="Arial"/>
                <w:b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2°Semestre:01/08 a 15/12 = 95 dias </w:t>
            </w:r>
          </w:p>
        </w:tc>
      </w:tr>
    </w:tbl>
    <w:p w:rsidR="00785ABA" w:rsidRDefault="00785ABA" w:rsidP="00785ABA">
      <w:pPr>
        <w:pStyle w:val="Standard"/>
        <w:jc w:val="both"/>
        <w:rPr>
          <w:rFonts w:ascii="Arial" w:hAnsi="Arial"/>
          <w:sz w:val="18"/>
          <w:szCs w:val="18"/>
        </w:rPr>
      </w:pPr>
    </w:p>
    <w:p w:rsidR="00785ABA" w:rsidRDefault="00785ABA" w:rsidP="00785ABA">
      <w:pPr>
        <w:pStyle w:val="Standard"/>
        <w:jc w:val="center"/>
        <w:rPr>
          <w:rFonts w:ascii="Arial" w:hAnsi="Arial"/>
          <w:b/>
          <w:bCs/>
        </w:rPr>
      </w:pPr>
    </w:p>
    <w:p w:rsidR="00785ABA" w:rsidRDefault="00785ABA" w:rsidP="00785ABA">
      <w:pPr>
        <w:pStyle w:val="Standard"/>
        <w:jc w:val="center"/>
        <w:rPr>
          <w:rFonts w:ascii="Arial" w:hAnsi="Arial"/>
          <w:b/>
          <w:bCs/>
        </w:rPr>
      </w:pPr>
    </w:p>
    <w:p w:rsidR="00785ABA" w:rsidRDefault="00785ABA" w:rsidP="00785ABA">
      <w:pPr>
        <w:pStyle w:val="Standard"/>
        <w:jc w:val="center"/>
        <w:rPr>
          <w:rFonts w:ascii="Arial" w:hAnsi="Arial"/>
          <w:b/>
          <w:bCs/>
        </w:rPr>
      </w:pPr>
    </w:p>
    <w:p w:rsidR="00785ABA" w:rsidRDefault="00785ABA" w:rsidP="00785AB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85ABA" w:rsidRDefault="00785ABA" w:rsidP="00785AB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85ABA" w:rsidRDefault="00785ABA" w:rsidP="00785AB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85ABA" w:rsidRDefault="00785ABA" w:rsidP="00785AB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85ABA" w:rsidRDefault="00785ABA" w:rsidP="00785ABA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85ABA" w:rsidRDefault="00785ABA" w:rsidP="00785ABA">
      <w:pPr>
        <w:pStyle w:val="Standard"/>
        <w:jc w:val="center"/>
        <w:rPr>
          <w:rFonts w:ascii="Arial" w:hAnsi="Arial"/>
          <w:b/>
          <w:bCs/>
        </w:rPr>
      </w:pPr>
    </w:p>
    <w:p w:rsidR="000113E0" w:rsidRDefault="000113E0" w:rsidP="00785ABA">
      <w:pPr>
        <w:pStyle w:val="Standard"/>
        <w:jc w:val="center"/>
      </w:pPr>
    </w:p>
    <w:sectPr w:rsidR="000113E0" w:rsidSect="00785ABA">
      <w:footerReference w:type="default" r:id="rId11"/>
      <w:pgSz w:w="16838" w:h="11906" w:orient="landscape"/>
      <w:pgMar w:top="851" w:right="1418" w:bottom="1701" w:left="993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E6" w:rsidRDefault="003575E6">
      <w:pPr>
        <w:spacing w:after="0" w:line="240" w:lineRule="auto"/>
      </w:pPr>
      <w:r>
        <w:separator/>
      </w:r>
    </w:p>
  </w:endnote>
  <w:endnote w:type="continuationSeparator" w:id="0">
    <w:p w:rsidR="003575E6" w:rsidRDefault="0035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A4" w:rsidRDefault="004428A4">
    <w:pPr>
      <w:pStyle w:val="Rodap"/>
      <w:pBdr>
        <w:top w:val="thinThickSmallGap" w:sz="24" w:space="1" w:color="622423"/>
      </w:pBdr>
    </w:pPr>
    <w:r>
      <w:rPr>
        <w:rFonts w:ascii="Cambria" w:hAnsi="Cambria"/>
        <w:b/>
      </w:rPr>
      <w:t xml:space="preserve">Av. Irmãs </w:t>
    </w:r>
    <w:proofErr w:type="spellStart"/>
    <w:r>
      <w:rPr>
        <w:rFonts w:ascii="Cambria" w:hAnsi="Cambria"/>
        <w:b/>
      </w:rPr>
      <w:t>Consolata</w:t>
    </w:r>
    <w:proofErr w:type="spellEnd"/>
    <w:r>
      <w:rPr>
        <w:rFonts w:ascii="Cambria" w:hAnsi="Cambria"/>
        <w:b/>
      </w:rPr>
      <w:t xml:space="preserve">, 189 – CEP: 99718-000 - Paulo Bento – RS. </w:t>
    </w:r>
    <w:r>
      <w:rPr>
        <w:rFonts w:ascii="Cambria" w:hAnsi="Cambria"/>
        <w:b/>
      </w:rPr>
      <w:tab/>
      <w:t xml:space="preserve">Página </w:t>
    </w:r>
    <w:r w:rsidR="00CE4734">
      <w:rPr>
        <w:b/>
      </w:rPr>
      <w:fldChar w:fldCharType="begin"/>
    </w:r>
    <w:r>
      <w:rPr>
        <w:b/>
      </w:rPr>
      <w:instrText>PAGE</w:instrText>
    </w:r>
    <w:r w:rsidR="00CE4734">
      <w:rPr>
        <w:b/>
      </w:rPr>
      <w:fldChar w:fldCharType="separate"/>
    </w:r>
    <w:r w:rsidR="00557F5B">
      <w:rPr>
        <w:b/>
        <w:noProof/>
      </w:rPr>
      <w:t>2</w:t>
    </w:r>
    <w:r w:rsidR="00CE4734">
      <w:rPr>
        <w:b/>
      </w:rPr>
      <w:fldChar w:fldCharType="end"/>
    </w:r>
  </w:p>
  <w:p w:rsidR="004428A4" w:rsidRDefault="00442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A4" w:rsidRDefault="004428A4">
    <w:pPr>
      <w:pStyle w:val="Rodap"/>
      <w:pBdr>
        <w:top w:val="thinThickSmallGap" w:sz="24" w:space="1" w:color="622423"/>
      </w:pBdr>
    </w:pPr>
    <w:r>
      <w:rPr>
        <w:rFonts w:ascii="Cambria" w:hAnsi="Cambria"/>
        <w:b/>
      </w:rPr>
      <w:t xml:space="preserve">Av. Irmãs </w:t>
    </w:r>
    <w:proofErr w:type="spellStart"/>
    <w:r>
      <w:rPr>
        <w:rFonts w:ascii="Cambria" w:hAnsi="Cambria"/>
        <w:b/>
      </w:rPr>
      <w:t>Consolata</w:t>
    </w:r>
    <w:proofErr w:type="spellEnd"/>
    <w:r>
      <w:rPr>
        <w:rFonts w:ascii="Cambria" w:hAnsi="Cambria"/>
        <w:b/>
      </w:rPr>
      <w:t xml:space="preserve">, 189 – CEP: 99718-000 - Paulo Bento – RS. </w:t>
    </w:r>
    <w:r>
      <w:rPr>
        <w:rFonts w:ascii="Cambria" w:hAnsi="Cambria"/>
        <w:b/>
      </w:rPr>
      <w:tab/>
      <w:t xml:space="preserve">Página </w:t>
    </w:r>
    <w:r w:rsidR="00CE4734">
      <w:rPr>
        <w:b/>
      </w:rPr>
      <w:fldChar w:fldCharType="begin"/>
    </w:r>
    <w:r>
      <w:rPr>
        <w:b/>
      </w:rPr>
      <w:instrText>PAGE</w:instrText>
    </w:r>
    <w:r w:rsidR="00CE4734">
      <w:rPr>
        <w:b/>
      </w:rPr>
      <w:fldChar w:fldCharType="separate"/>
    </w:r>
    <w:r w:rsidR="00557F5B">
      <w:rPr>
        <w:b/>
        <w:noProof/>
      </w:rPr>
      <w:t>3</w:t>
    </w:r>
    <w:r w:rsidR="00CE4734">
      <w:rPr>
        <w:b/>
      </w:rPr>
      <w:fldChar w:fldCharType="end"/>
    </w:r>
  </w:p>
  <w:p w:rsidR="004428A4" w:rsidRDefault="004428A4">
    <w:pPr>
      <w:pStyle w:val="Rodap"/>
      <w:pBdr>
        <w:top w:val="thinThickSmallGap" w:sz="24" w:space="1" w:color="622423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E6" w:rsidRDefault="003575E6">
      <w:pPr>
        <w:spacing w:after="0" w:line="240" w:lineRule="auto"/>
      </w:pPr>
      <w:r>
        <w:separator/>
      </w:r>
    </w:p>
  </w:footnote>
  <w:footnote w:type="continuationSeparator" w:id="0">
    <w:p w:rsidR="003575E6" w:rsidRDefault="0035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3E0"/>
    <w:rsid w:val="000113E0"/>
    <w:rsid w:val="0007332E"/>
    <w:rsid w:val="000E4B2D"/>
    <w:rsid w:val="002E533A"/>
    <w:rsid w:val="003575E6"/>
    <w:rsid w:val="004428A4"/>
    <w:rsid w:val="00490537"/>
    <w:rsid w:val="00557F5B"/>
    <w:rsid w:val="00785ABA"/>
    <w:rsid w:val="007B5935"/>
    <w:rsid w:val="007C733F"/>
    <w:rsid w:val="007F353E"/>
    <w:rsid w:val="008D0EFF"/>
    <w:rsid w:val="00AC311F"/>
    <w:rsid w:val="00CE4734"/>
    <w:rsid w:val="00E562F5"/>
    <w:rsid w:val="00EA07B6"/>
    <w:rsid w:val="00E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8433F"/>
  </w:style>
  <w:style w:type="character" w:customStyle="1" w:styleId="RodapChar">
    <w:name w:val="Rodapé Char"/>
    <w:basedOn w:val="Fontepargpadro"/>
    <w:link w:val="Rodap"/>
    <w:uiPriority w:val="99"/>
    <w:qFormat/>
    <w:rsid w:val="0048433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8433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92B7C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A5613"/>
    <w:rPr>
      <w:sz w:val="20"/>
      <w:szCs w:val="20"/>
    </w:rPr>
  </w:style>
  <w:style w:type="character" w:customStyle="1" w:styleId="ncoradanotaderodap">
    <w:name w:val="Âncora da nota de rodapé"/>
    <w:rsid w:val="007C733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A5613"/>
    <w:rPr>
      <w:vertAlign w:val="superscript"/>
    </w:rPr>
  </w:style>
  <w:style w:type="character" w:customStyle="1" w:styleId="ListLabel1">
    <w:name w:val="ListLabel 1"/>
    <w:qFormat/>
    <w:rsid w:val="007C733F"/>
    <w:rPr>
      <w:rFonts w:ascii="Cambria" w:hAnsi="Cambria"/>
      <w:b/>
    </w:rPr>
  </w:style>
  <w:style w:type="character" w:customStyle="1" w:styleId="ListLabel2">
    <w:name w:val="ListLabel 2"/>
    <w:qFormat/>
    <w:rsid w:val="007C733F"/>
    <w:rPr>
      <w:rFonts w:ascii="Cambria" w:hAnsi="Cambria"/>
      <w:b/>
    </w:rPr>
  </w:style>
  <w:style w:type="character" w:customStyle="1" w:styleId="ListLabel3">
    <w:name w:val="ListLabel 3"/>
    <w:qFormat/>
    <w:rsid w:val="007C733F"/>
    <w:rPr>
      <w:rFonts w:ascii="Cambria" w:hAnsi="Cambria"/>
      <w:b/>
    </w:rPr>
  </w:style>
  <w:style w:type="paragraph" w:styleId="Ttulo">
    <w:name w:val="Title"/>
    <w:basedOn w:val="Normal"/>
    <w:next w:val="Corpodetexto"/>
    <w:qFormat/>
    <w:rsid w:val="007C733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7C733F"/>
    <w:pPr>
      <w:spacing w:after="140"/>
    </w:pPr>
  </w:style>
  <w:style w:type="paragraph" w:styleId="Lista">
    <w:name w:val="List"/>
    <w:basedOn w:val="Corpodetexto"/>
    <w:rsid w:val="007C733F"/>
    <w:rPr>
      <w:rFonts w:cs="Lohit Devanagari"/>
    </w:rPr>
  </w:style>
  <w:style w:type="paragraph" w:styleId="Legenda">
    <w:name w:val="caption"/>
    <w:basedOn w:val="Normal"/>
    <w:qFormat/>
    <w:rsid w:val="007C73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33F"/>
    <w:pPr>
      <w:suppressLineNumbers/>
    </w:pPr>
    <w:rPr>
      <w:rFonts w:cs="Lohit Devanagari"/>
    </w:rPr>
  </w:style>
  <w:style w:type="paragraph" w:styleId="SemEspaamento">
    <w:name w:val="No Spacing"/>
    <w:uiPriority w:val="1"/>
    <w:qFormat/>
    <w:rsid w:val="0048433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C733F"/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paragraph" w:customStyle="1" w:styleId="Standard">
    <w:name w:val="Standard"/>
    <w:qFormat/>
    <w:rsid w:val="00BB76C9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7C733F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73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785ABA"/>
    <w:pPr>
      <w:suppressLineNumbers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3F2A-4E83-44CE-8FA9-EA5648A1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mailto:cme@paulobento.rs.gov.br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2022-01-07T15:52:00Z</cp:lastPrinted>
  <dcterms:created xsi:type="dcterms:W3CDTF">2023-01-03T15:47:00Z</dcterms:created>
  <dcterms:modified xsi:type="dcterms:W3CDTF">2023-01-03T15:54:00Z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