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0C5D8A" w:rsidP="00042775">
      <w:pPr>
        <w:pStyle w:val="Cabealho"/>
      </w:pPr>
      <w:hyperlink r:id="rId10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1E5F3C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FA2A04">
        <w:rPr>
          <w:rFonts w:ascii="Bookman Old Style" w:hAnsi="Bookman Old Style" w:cs="Times New Roman"/>
          <w:b/>
          <w:bCs/>
          <w:sz w:val="24"/>
          <w:szCs w:val="24"/>
        </w:rPr>
        <w:t>1</w:t>
      </w:r>
      <w:r w:rsidR="00035E56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FA2A04">
        <w:rPr>
          <w:rFonts w:ascii="Bookman Old Style" w:hAnsi="Bookman Old Style" w:cs="Times New Roman"/>
          <w:b/>
          <w:bCs/>
          <w:sz w:val="24"/>
          <w:szCs w:val="24"/>
        </w:rPr>
        <w:t>03 de fevereiro de 2021.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FA2A04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 Calendário E</w:t>
      </w:r>
      <w:r w:rsidR="009D76BE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21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</w:t>
      </w:r>
      <w:proofErr w:type="spellStart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343900" w:rsidRPr="0062228F" w:rsidRDefault="0034390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FA2A04">
        <w:rPr>
          <w:rFonts w:ascii="Bookman Old Style" w:hAnsi="Bookman Old Style" w:cs="Times New Roman"/>
          <w:sz w:val="24"/>
          <w:szCs w:val="24"/>
        </w:rPr>
        <w:t>03 de fevereiro de 2021</w:t>
      </w:r>
      <w:r w:rsidR="00D35FC8">
        <w:rPr>
          <w:rFonts w:ascii="Bookman Old Style" w:hAnsi="Bookman Old Style" w:cs="Times New Roman"/>
          <w:sz w:val="24"/>
          <w:szCs w:val="24"/>
        </w:rPr>
        <w:t xml:space="preserve">, registrada </w:t>
      </w:r>
      <w:r w:rsidR="00A55EAE">
        <w:rPr>
          <w:rFonts w:ascii="Bookman Old Style" w:hAnsi="Bookman Old Style" w:cs="Times New Roman"/>
          <w:sz w:val="24"/>
          <w:szCs w:val="24"/>
        </w:rPr>
        <w:t xml:space="preserve">na Ata da Reunião CME </w:t>
      </w:r>
      <w:r w:rsidR="00FA2A04">
        <w:rPr>
          <w:rFonts w:ascii="Bookman Old Style" w:hAnsi="Bookman Old Style" w:cs="Times New Roman"/>
          <w:sz w:val="24"/>
          <w:szCs w:val="24"/>
        </w:rPr>
        <w:t>nº. 001</w:t>
      </w:r>
      <w:r w:rsidR="00A55EAE">
        <w:rPr>
          <w:rFonts w:ascii="Bookman Old Style" w:hAnsi="Bookman Old Style" w:cs="Times New Roman"/>
          <w:sz w:val="24"/>
          <w:szCs w:val="24"/>
        </w:rPr>
        <w:t xml:space="preserve"> de </w:t>
      </w:r>
      <w:r w:rsidR="00FA2A04">
        <w:rPr>
          <w:rFonts w:ascii="Bookman Old Style" w:hAnsi="Bookman Old Style" w:cs="Times New Roman"/>
          <w:sz w:val="24"/>
          <w:szCs w:val="24"/>
        </w:rPr>
        <w:t>03 de fevereiro de 2021</w:t>
      </w:r>
      <w:r w:rsidR="00A55EAE" w:rsidRPr="00991788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</w:t>
      </w:r>
      <w:r w:rsidR="00B432DE">
        <w:rPr>
          <w:rFonts w:ascii="Bookman Old Style" w:hAnsi="Bookman Old Style" w:cs="Times New Roman"/>
          <w:sz w:val="24"/>
          <w:szCs w:val="24"/>
        </w:rPr>
        <w:t>,</w:t>
      </w:r>
      <w:r w:rsidR="00FA2A04">
        <w:rPr>
          <w:rFonts w:ascii="Bookman Old Style" w:hAnsi="Bookman Old Style" w:cs="Times New Roman"/>
          <w:sz w:val="24"/>
          <w:szCs w:val="24"/>
        </w:rPr>
        <w:t xml:space="preserve"> Parecer CNE/CP nº. 11/2020, </w:t>
      </w:r>
      <w:r w:rsidR="00B432DE">
        <w:rPr>
          <w:rFonts w:ascii="Bookman Old Style" w:hAnsi="Bookman Old Style" w:cs="Times New Roman"/>
          <w:sz w:val="24"/>
          <w:szCs w:val="24"/>
        </w:rPr>
        <w:t>Decreto Municipal nº. 2</w:t>
      </w:r>
      <w:r w:rsidR="00124235">
        <w:rPr>
          <w:rFonts w:ascii="Bookman Old Style" w:hAnsi="Bookman Old Style" w:cs="Times New Roman"/>
          <w:sz w:val="24"/>
          <w:szCs w:val="24"/>
        </w:rPr>
        <w:t>729/2021</w:t>
      </w:r>
      <w:r w:rsidR="00B432DE">
        <w:rPr>
          <w:rFonts w:ascii="Bookman Old Style" w:hAnsi="Bookman Old Style" w:cs="Times New Roman"/>
          <w:sz w:val="24"/>
          <w:szCs w:val="24"/>
        </w:rPr>
        <w:t>, Decreto Estadual nº. 55.184/2020</w:t>
      </w:r>
      <w:r w:rsidR="00AF5E8A">
        <w:rPr>
          <w:rFonts w:ascii="Bookman Old Style" w:hAnsi="Bookman Old Style" w:cs="Times New Roman"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124235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 w:rsidRPr="00124235"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124235">
        <w:rPr>
          <w:rFonts w:ascii="Bookman Old Style" w:hAnsi="Bookman Old Style" w:cs="Times New Roman"/>
          <w:bCs/>
          <w:sz w:val="24"/>
          <w:szCs w:val="24"/>
        </w:rPr>
        <w:t>Aprovar o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D76BE">
        <w:rPr>
          <w:rFonts w:ascii="Bookman Old Style" w:hAnsi="Bookman Old Style" w:cs="Times New Roman"/>
          <w:bCs/>
          <w:sz w:val="24"/>
          <w:szCs w:val="24"/>
        </w:rPr>
        <w:t>scolar para o Ano Letivo de 20</w:t>
      </w:r>
      <w:r w:rsidR="00FA2A04">
        <w:rPr>
          <w:rFonts w:ascii="Bookman Old Style" w:hAnsi="Bookman Old Style" w:cs="Times New Roman"/>
          <w:bCs/>
          <w:sz w:val="24"/>
          <w:szCs w:val="24"/>
        </w:rPr>
        <w:t>21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</w:t>
      </w:r>
      <w:r w:rsidR="00124235">
        <w:rPr>
          <w:rFonts w:ascii="Bookman Old Style" w:hAnsi="Bookman Old Style" w:cs="Times New Roman"/>
          <w:bCs/>
          <w:sz w:val="24"/>
          <w:szCs w:val="24"/>
        </w:rPr>
        <w:t xml:space="preserve"> dos Estabelecimentos de Ensino componentes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 xml:space="preserve">me constam </w:t>
      </w:r>
      <w:r w:rsidR="00124235">
        <w:rPr>
          <w:rFonts w:ascii="Bookman Old Style" w:hAnsi="Bookman Old Style" w:cs="Times New Roman"/>
          <w:bCs/>
          <w:sz w:val="24"/>
          <w:szCs w:val="24"/>
        </w:rPr>
        <w:t xml:space="preserve">os </w:t>
      </w:r>
      <w:r w:rsidR="001907B2">
        <w:rPr>
          <w:rFonts w:ascii="Bookman Old Style" w:hAnsi="Bookman Old Style" w:cs="Times New Roman"/>
          <w:bCs/>
          <w:sz w:val="24"/>
          <w:szCs w:val="24"/>
        </w:rPr>
        <w:t>Anexos</w:t>
      </w:r>
      <w:r w:rsidR="00343900">
        <w:rPr>
          <w:rFonts w:ascii="Bookman Old Style" w:hAnsi="Bookman Old Style" w:cs="Times New Roman"/>
          <w:bCs/>
          <w:sz w:val="24"/>
          <w:szCs w:val="24"/>
        </w:rPr>
        <w:t xml:space="preserve"> I e II</w:t>
      </w:r>
      <w:r w:rsidR="001907B2">
        <w:rPr>
          <w:rFonts w:ascii="Bookman Old Style" w:hAnsi="Bookman Old Style" w:cs="Times New Roman"/>
          <w:bCs/>
          <w:sz w:val="24"/>
          <w:szCs w:val="24"/>
        </w:rPr>
        <w:t xml:space="preserve"> (</w:t>
      </w:r>
      <w:r w:rsidR="00124235">
        <w:rPr>
          <w:rFonts w:ascii="Bookman Old Style" w:hAnsi="Bookman Old Style" w:cs="Times New Roman"/>
          <w:bCs/>
          <w:sz w:val="24"/>
          <w:szCs w:val="24"/>
        </w:rPr>
        <w:t>Calendário Híbrido</w:t>
      </w:r>
      <w:r w:rsidR="00343900">
        <w:rPr>
          <w:rFonts w:ascii="Bookman Old Style" w:hAnsi="Bookman Old Style" w:cs="Times New Roman"/>
          <w:bCs/>
          <w:sz w:val="24"/>
          <w:szCs w:val="24"/>
        </w:rPr>
        <w:t>/</w:t>
      </w:r>
      <w:r w:rsidR="00124235">
        <w:rPr>
          <w:rFonts w:ascii="Bookman Old Style" w:hAnsi="Bookman Old Style" w:cs="Times New Roman"/>
          <w:bCs/>
          <w:sz w:val="24"/>
          <w:szCs w:val="24"/>
        </w:rPr>
        <w:t>Online e Calendário Presencial</w:t>
      </w:r>
      <w:r w:rsidR="001907B2">
        <w:rPr>
          <w:rFonts w:ascii="Bookman Old Style" w:hAnsi="Bookman Old Style" w:cs="Times New Roman"/>
          <w:bCs/>
          <w:sz w:val="24"/>
          <w:szCs w:val="24"/>
        </w:rPr>
        <w:t xml:space="preserve">) </w:t>
      </w:r>
      <w:r w:rsidR="00AF5E8A">
        <w:rPr>
          <w:rFonts w:ascii="Bookman Old Style" w:hAnsi="Bookman Old Style" w:cs="Times New Roman"/>
          <w:bCs/>
          <w:sz w:val="24"/>
          <w:szCs w:val="24"/>
        </w:rPr>
        <w:t>partes integrantes desta Resolução.</w:t>
      </w:r>
    </w:p>
    <w:p w:rsidR="005B61FB" w:rsidRDefault="005B61FB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43900" w:rsidRDefault="00343900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43900" w:rsidRDefault="00343900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24235" w:rsidRPr="00343900" w:rsidRDefault="00124235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343900">
        <w:rPr>
          <w:rFonts w:ascii="Bookman Old Style" w:hAnsi="Bookman Old Style" w:cs="Times New Roman"/>
          <w:bCs/>
          <w:sz w:val="24"/>
          <w:szCs w:val="24"/>
        </w:rPr>
        <w:t>O Calendário Escolar para  Ano Letivo de 2021, prevê às formas presenciais, híbridas (semipresenciais) e online</w:t>
      </w:r>
      <w:r w:rsidR="00BE4483">
        <w:rPr>
          <w:rFonts w:ascii="Bookman Old Style" w:hAnsi="Bookman Old Style" w:cs="Times New Roman"/>
          <w:bCs/>
          <w:sz w:val="24"/>
          <w:szCs w:val="24"/>
        </w:rPr>
        <w:t>,</w:t>
      </w:r>
      <w:r w:rsidR="00343900">
        <w:rPr>
          <w:rFonts w:ascii="Bookman Old Style" w:hAnsi="Bookman Old Style" w:cs="Times New Roman"/>
          <w:bCs/>
          <w:sz w:val="24"/>
          <w:szCs w:val="24"/>
        </w:rPr>
        <w:t xml:space="preserve"> de aulas, nos termos do Parecer CNE/CP nº. 11/2020, conforme os Anexos I e II da Resolução. </w:t>
      </w:r>
    </w:p>
    <w:p w:rsidR="00124235" w:rsidRDefault="00124235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124235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343900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5B61FB"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 w:rsidR="005B61F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calendário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es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r w:rsidR="00B40C87">
        <w:rPr>
          <w:rFonts w:ascii="Bookman Old Style" w:hAnsi="Bookman Old Style" w:cs="Times New Roman"/>
          <w:bCs/>
          <w:sz w:val="24"/>
          <w:szCs w:val="24"/>
        </w:rPr>
        <w:t>ser submetido à apreciação da 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124235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4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5EAE" w:rsidRDefault="00EA7800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>
        <w:rPr>
          <w:rFonts w:ascii="Bookman Old Style" w:eastAsia="Arial" w:hAnsi="Bookman Old Style" w:cs="Times New Roman"/>
          <w:i/>
          <w:sz w:val="24"/>
          <w:szCs w:val="24"/>
        </w:rPr>
        <w:t>Aprovado por unanimidade</w:t>
      </w:r>
      <w:r w:rsidR="00A55EA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pelos presentes, na Sessão Plenária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 Ordinária</w:t>
      </w:r>
      <w:r w:rsidR="00A55EA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do dia </w:t>
      </w:r>
      <w:r w:rsidR="00FA2A04">
        <w:rPr>
          <w:rFonts w:ascii="Bookman Old Style" w:eastAsia="Arial" w:hAnsi="Bookman Old Style" w:cs="Times New Roman"/>
          <w:i/>
          <w:sz w:val="24"/>
          <w:szCs w:val="24"/>
        </w:rPr>
        <w:t>03 de fevereiro de 2021</w:t>
      </w:r>
      <w:r w:rsidR="00A55EA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A55EAE" w:rsidRDefault="00A55EAE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6"/>
        <w:gridCol w:w="4659"/>
      </w:tblGrid>
      <w:tr w:rsidR="00A55EAE" w:rsidRPr="005B6E25" w:rsidTr="00860C95">
        <w:trPr>
          <w:trHeight w:val="366"/>
        </w:trPr>
        <w:tc>
          <w:tcPr>
            <w:tcW w:w="4666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9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55EAE" w:rsidRPr="00991788" w:rsidTr="00860C95">
        <w:trPr>
          <w:trHeight w:val="2965"/>
        </w:trPr>
        <w:tc>
          <w:tcPr>
            <w:tcW w:w="4666" w:type="dxa"/>
          </w:tcPr>
          <w:p w:rsidR="00343900" w:rsidRDefault="00343900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Alessandra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Kreische</w:t>
            </w:r>
            <w:proofErr w:type="spellEnd"/>
          </w:p>
          <w:p w:rsidR="00A55EAE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860C95" w:rsidRPr="00991788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Avozani</w:t>
            </w:r>
            <w:proofErr w:type="spellEnd"/>
          </w:p>
          <w:p w:rsidR="00A55EAE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860C95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Juliana Souza de Abreu</w:t>
            </w:r>
          </w:p>
          <w:p w:rsidR="00860C95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Letícia Luisa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Dallagnol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Chirvev</w:t>
            </w:r>
            <w:proofErr w:type="spellEnd"/>
          </w:p>
          <w:p w:rsidR="00860C95" w:rsidRPr="00991788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Luci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Cláudia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Wietrzykwski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Goetems</w:t>
            </w:r>
            <w:proofErr w:type="spellEnd"/>
          </w:p>
          <w:p w:rsidR="00343900" w:rsidRPr="00991788" w:rsidRDefault="00A55EAE" w:rsidP="0086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Tiago Pereira</w:t>
            </w:r>
          </w:p>
        </w:tc>
        <w:tc>
          <w:tcPr>
            <w:tcW w:w="4659" w:type="dxa"/>
          </w:tcPr>
          <w:p w:rsidR="00A55EAE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 Paula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Lissa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Prá</w:t>
            </w:r>
          </w:p>
          <w:p w:rsidR="00860C95" w:rsidRPr="00991788" w:rsidRDefault="00860C95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Liamara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Dorigon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Levandoski</w:t>
            </w:r>
            <w:proofErr w:type="spellEnd"/>
          </w:p>
        </w:tc>
      </w:tr>
      <w:tr w:rsidR="00A55EAE" w:rsidRPr="00991788" w:rsidTr="00860C95">
        <w:trPr>
          <w:trHeight w:val="380"/>
        </w:trPr>
        <w:tc>
          <w:tcPr>
            <w:tcW w:w="4666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A55EAE" w:rsidRPr="00991788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55EAE" w:rsidRPr="00991788" w:rsidTr="00860C95">
        <w:trPr>
          <w:trHeight w:val="666"/>
        </w:trPr>
        <w:tc>
          <w:tcPr>
            <w:tcW w:w="4666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A55EAE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60C95" w:rsidRDefault="00860C9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860C95" w:rsidSect="00E73505">
          <w:footerReference w:type="default" r:id="rId11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FA2A04" w:rsidRDefault="00343900" w:rsidP="00FA2A04">
      <w:pPr>
        <w:pStyle w:val="Standard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ANEXO - I - </w:t>
      </w:r>
      <w:r w:rsidR="00FA2A04" w:rsidRPr="00FA2A04">
        <w:rPr>
          <w:rFonts w:ascii="Bookman Old Style" w:hAnsi="Bookman Old Style"/>
          <w:b/>
          <w:bCs/>
        </w:rPr>
        <w:t xml:space="preserve">CALENDÁRIO LETIVO 2021 </w:t>
      </w:r>
      <w:r w:rsidR="00124235">
        <w:rPr>
          <w:rFonts w:ascii="Bookman Old Style" w:hAnsi="Bookman Old Style"/>
          <w:b/>
          <w:bCs/>
        </w:rPr>
        <w:t>HÍBRIDO E ONLINE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FA2A04" w:rsidRPr="00124235" w:rsidTr="00FA2A04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Standard"/>
              <w:jc w:val="center"/>
              <w:rPr>
                <w:rFonts w:ascii="Bookman Old Style" w:hAnsi="Bookman Old Style"/>
                <w:b/>
              </w:rPr>
            </w:pPr>
            <w:r w:rsidRPr="00124235">
              <w:rPr>
                <w:rFonts w:ascii="Bookman Old Style" w:hAnsi="Bookman Old Style"/>
                <w:b/>
              </w:rPr>
              <w:t>ESCOLAS DO SISTEMA MUNICIPAL DE EDUCAÇÃO</w:t>
            </w:r>
          </w:p>
        </w:tc>
      </w:tr>
    </w:tbl>
    <w:p w:rsidR="00FA2A04" w:rsidRPr="00124235" w:rsidRDefault="00FA2A04" w:rsidP="00FA2A04">
      <w:pPr>
        <w:rPr>
          <w:rFonts w:ascii="Bookman Old Style" w:hAnsi="Bookman Old Style"/>
          <w:b/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FA2A04" w:rsidRPr="00124235" w:rsidTr="00FA2A04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SEGUNDO SEMESTRE</w:t>
            </w:r>
          </w:p>
        </w:tc>
      </w:tr>
    </w:tbl>
    <w:p w:rsidR="00FA2A04" w:rsidRPr="00FA2A04" w:rsidRDefault="00FA2A04" w:rsidP="00FA2A04">
      <w:pPr>
        <w:rPr>
          <w:rFonts w:ascii="Bookman Old Style" w:hAnsi="Bookman Old Style"/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709"/>
        <w:gridCol w:w="1134"/>
        <w:gridCol w:w="992"/>
        <w:gridCol w:w="1418"/>
        <w:gridCol w:w="992"/>
        <w:gridCol w:w="992"/>
        <w:gridCol w:w="1701"/>
      </w:tblGrid>
      <w:tr w:rsidR="00FA2A04" w:rsidRPr="00FA2A04" w:rsidTr="00FA2A04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SET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OUT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caps/>
                <w:sz w:val="22"/>
                <w:szCs w:val="22"/>
              </w:rPr>
              <w:t>TOTAL DE DIAS LETIVOS</w:t>
            </w: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 xml:space="preserve">Dias Letivos 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05</w:t>
            </w: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17</w:t>
            </w: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200</w:t>
            </w: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-------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2; 16 e</w:t>
            </w: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3 e 4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07 e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11 e 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01;02 e 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Recesso Estudantes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  <w:p w:rsidR="00FA2A04" w:rsidRPr="00FA2A04" w:rsidRDefault="00FA2A04" w:rsidP="00FA2A04">
            <w:pPr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26 à 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26 à 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rPr>
          <w:trHeight w:val="599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Entrega Pareceres e Boletins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right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Formação Pedagógica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 xml:space="preserve">12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D138A3" w:rsidRPr="00FA2A04" w:rsidTr="00BE4483">
        <w:tc>
          <w:tcPr>
            <w:tcW w:w="14034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8A3" w:rsidRPr="00D138A3" w:rsidRDefault="00D138A3" w:rsidP="00D138A3">
            <w:pPr>
              <w:pStyle w:val="TableContents"/>
              <w:jc w:val="right"/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</w:pPr>
            <w:r w:rsidRPr="00D138A3"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  <w:t>TOTAL</w:t>
            </w:r>
            <w:r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  <w:t>DE DIAS LETIVOS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8A3" w:rsidRPr="00D138A3" w:rsidRDefault="00D138A3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</w:pPr>
            <w:r w:rsidRPr="00D138A3">
              <w:rPr>
                <w:rFonts w:ascii="Bookman Old Style" w:hAnsi="Bookman Old Style"/>
                <w:b/>
                <w:sz w:val="22"/>
                <w:szCs w:val="22"/>
              </w:rPr>
              <w:t>200</w:t>
            </w:r>
          </w:p>
        </w:tc>
      </w:tr>
    </w:tbl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24235" w:rsidRDefault="00124235" w:rsidP="00FA2A04">
      <w:pPr>
        <w:pStyle w:val="Standard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FA2A04">
        <w:rPr>
          <w:rFonts w:ascii="Bookman Old Style" w:hAnsi="Bookman Old Style"/>
          <w:b/>
          <w:bCs/>
          <w:sz w:val="22"/>
          <w:szCs w:val="22"/>
        </w:rPr>
        <w:t>OBSERVAÇÕES:</w:t>
      </w:r>
    </w:p>
    <w:tbl>
      <w:tblPr>
        <w:tblW w:w="15461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892"/>
      </w:tblGrid>
      <w:tr w:rsidR="00FA2A04" w:rsidRPr="00FA2A04" w:rsidTr="00D138A3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INÍCIO DAS ATIVIDADES COM OS ESTUDANTES: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22 de fevereiro de 2021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RETORNO DAS ATIVIDADES COM OS ESTUDANTES: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02 de agosto de 2021.</w:t>
            </w:r>
          </w:p>
        </w:tc>
      </w:tr>
      <w:tr w:rsidR="00FA2A04" w:rsidRPr="00FA2A04" w:rsidTr="00D138A3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ENCERRAMNETO DO ANO LETIVO COM OS ESTUDANTES</w:t>
            </w:r>
            <w:r w:rsidR="00124235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17 de dezembro de 2021</w:t>
            </w:r>
          </w:p>
        </w:tc>
        <w:tc>
          <w:tcPr>
            <w:tcW w:w="7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Obs</w:t>
            </w:r>
            <w:proofErr w:type="spellEnd"/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Pr="00FA2A04">
              <w:rPr>
                <w:rFonts w:ascii="Bookman Old Style" w:hAnsi="Bookman Old Style"/>
                <w:sz w:val="22"/>
                <w:szCs w:val="22"/>
              </w:rPr>
              <w:t xml:space="preserve"> As demais formações pedagógicas do ano serão definidas com a nova assessoria pedagógica, que serão realizadas durante todo o ano letivo, em horário contrário as aulas.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124235" w:rsidRDefault="00124235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FA2A04" w:rsidRPr="00FA2A04" w:rsidRDefault="00343900" w:rsidP="00FA2A04">
      <w:pPr>
        <w:pStyle w:val="Standard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ANEXO - II - </w:t>
      </w:r>
      <w:r w:rsidR="00FA2A04" w:rsidRPr="00FA2A04">
        <w:rPr>
          <w:rFonts w:ascii="Bookman Old Style" w:hAnsi="Bookman Old Style"/>
          <w:b/>
          <w:bCs/>
        </w:rPr>
        <w:t xml:space="preserve">CALENDÁRIO LETIVO 2021 </w:t>
      </w:r>
      <w:r w:rsidR="00124235">
        <w:rPr>
          <w:rFonts w:ascii="Bookman Old Style" w:hAnsi="Bookman Old Style"/>
          <w:b/>
          <w:bCs/>
        </w:rPr>
        <w:t>- PRESENCIAL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FA2A04" w:rsidRPr="00124235" w:rsidTr="00FA2A04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Standard"/>
              <w:jc w:val="center"/>
              <w:rPr>
                <w:rFonts w:ascii="Bookman Old Style" w:hAnsi="Bookman Old Style"/>
                <w:b/>
              </w:rPr>
            </w:pPr>
            <w:r w:rsidRPr="00124235">
              <w:rPr>
                <w:rFonts w:ascii="Bookman Old Style" w:hAnsi="Bookman Old Style"/>
                <w:b/>
              </w:rPr>
              <w:t>ESCOLAS DO SISTEMA MUNICIPAL DE EDUCAÇÃO</w:t>
            </w:r>
          </w:p>
        </w:tc>
      </w:tr>
    </w:tbl>
    <w:p w:rsidR="00FA2A04" w:rsidRPr="00124235" w:rsidRDefault="00FA2A04" w:rsidP="00FA2A04">
      <w:pPr>
        <w:rPr>
          <w:rFonts w:ascii="Bookman Old Style" w:hAnsi="Bookman Old Style"/>
          <w:b/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FA2A04" w:rsidRPr="00124235" w:rsidTr="00FA2A04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SEGUNDO SEMESTRE</w:t>
            </w:r>
          </w:p>
        </w:tc>
      </w:tr>
    </w:tbl>
    <w:p w:rsidR="00FA2A04" w:rsidRPr="00124235" w:rsidRDefault="00FA2A04" w:rsidP="00FA2A04">
      <w:pPr>
        <w:rPr>
          <w:rFonts w:ascii="Bookman Old Style" w:hAnsi="Bookman Old Style"/>
          <w:b/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1247"/>
        <w:gridCol w:w="657"/>
        <w:gridCol w:w="1186"/>
        <w:gridCol w:w="850"/>
        <w:gridCol w:w="709"/>
        <w:gridCol w:w="1276"/>
        <w:gridCol w:w="1134"/>
        <w:gridCol w:w="1134"/>
        <w:gridCol w:w="992"/>
        <w:gridCol w:w="992"/>
        <w:gridCol w:w="1701"/>
      </w:tblGrid>
      <w:tr w:rsidR="00FA2A04" w:rsidRPr="00124235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MAR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ABR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MAI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JUN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AGO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SET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OUT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caps/>
                <w:sz w:val="22"/>
                <w:szCs w:val="22"/>
              </w:rPr>
              <w:t>TOTAL DE DIAS LETIVOS</w:t>
            </w: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 xml:space="preserve">Dias Letivos 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05</w:t>
            </w: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17</w:t>
            </w: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198</w:t>
            </w: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-------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2; 16 e</w:t>
            </w: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3 e 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07 e 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11 e 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01;02 e 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D138A3">
        <w:trPr>
          <w:trHeight w:val="464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Recesso Estudantes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  <w:p w:rsidR="00FA2A04" w:rsidRPr="00FA2A04" w:rsidRDefault="00FA2A04" w:rsidP="00FA2A04">
            <w:pPr>
              <w:rPr>
                <w:rFonts w:ascii="Bookman Old Style" w:hAnsi="Bookman Old Style"/>
              </w:rPr>
            </w:pPr>
          </w:p>
          <w:p w:rsidR="00FA2A04" w:rsidRPr="00FA2A04" w:rsidRDefault="00FA2A04" w:rsidP="00FA2A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26 à 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26 à 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rPr>
          <w:trHeight w:val="599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Entrega Pareceres e Boletins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right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D138A3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D138A3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15 Evento em comemoração ao aniversário do Município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19-Festa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Junina Educação Infantil;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26-Festa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Junina Fundamental.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16-Dia da Família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Dia letivo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7 Desfile cívico ;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20 Cavalgada com apresentações culturais.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lastRenderedPageBreak/>
              <w:t>Dias letivo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lastRenderedPageBreak/>
              <w:t>08- Atividades alusivas ao dia da criança.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19 – Apresentações atividades especiais Dia da </w:t>
            </w:r>
            <w:r w:rsidRPr="00860C95"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Consciência Negra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860C95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lastRenderedPageBreak/>
              <w:t>17 Encerramento do ano.</w:t>
            </w:r>
          </w:p>
          <w:p w:rsidR="00FA2A04" w:rsidRPr="00860C95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FA2A04" w:rsidRPr="00FA2A04" w:rsidTr="00FA2A04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lastRenderedPageBreak/>
              <w:t>Formação Pedagógica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FA2A04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A2A04" w:rsidRPr="00FA2A04" w:rsidRDefault="00FA2A04" w:rsidP="00FA2A04">
            <w:pPr>
              <w:pStyle w:val="TableContents"/>
              <w:jc w:val="center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</w:p>
        </w:tc>
      </w:tr>
      <w:tr w:rsidR="00D138A3" w:rsidRPr="00FA2A04" w:rsidTr="00BE4483">
        <w:tc>
          <w:tcPr>
            <w:tcW w:w="14034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8A3" w:rsidRPr="00D138A3" w:rsidRDefault="00D138A3" w:rsidP="00D138A3">
            <w:pPr>
              <w:pStyle w:val="TableContents"/>
              <w:jc w:val="right"/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</w:pPr>
            <w:r w:rsidRPr="00D138A3"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  <w:t>TOTAL DE DIAS LETIVOS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8A3" w:rsidRPr="00D138A3" w:rsidRDefault="00D138A3" w:rsidP="00FA2A04">
            <w:pPr>
              <w:pStyle w:val="TableContents"/>
              <w:jc w:val="center"/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</w:pPr>
            <w:r w:rsidRPr="00D138A3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</w:p>
        </w:tc>
      </w:tr>
    </w:tbl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FA2A04">
        <w:rPr>
          <w:rFonts w:ascii="Bookman Old Style" w:hAnsi="Bookman Old Style"/>
          <w:b/>
          <w:bCs/>
          <w:sz w:val="22"/>
          <w:szCs w:val="22"/>
        </w:rPr>
        <w:t>OBSERVAÇÕES:</w:t>
      </w:r>
    </w:p>
    <w:tbl>
      <w:tblPr>
        <w:tblW w:w="15451" w:type="dxa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59"/>
        <w:gridCol w:w="7892"/>
      </w:tblGrid>
      <w:tr w:rsidR="00FA2A04" w:rsidRPr="00FA2A04" w:rsidTr="00D138A3">
        <w:tc>
          <w:tcPr>
            <w:tcW w:w="7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INÍCIO DAS ATIVIDADES COM OS ESTUDANTES: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22 de fevereiro de 2021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RETORNO DAS ATIVIDADES COM OS ESTUDANTES: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02 de agosto de 2021.</w:t>
            </w:r>
          </w:p>
        </w:tc>
      </w:tr>
      <w:tr w:rsidR="00FA2A04" w:rsidRPr="00FA2A04" w:rsidTr="00D138A3">
        <w:tc>
          <w:tcPr>
            <w:tcW w:w="7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124235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ENCERRAMNETO DO ANO LETIVO COM OS ESTUDANTES</w:t>
            </w:r>
            <w:r w:rsidR="00124235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12423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A2A04">
              <w:rPr>
                <w:rFonts w:ascii="Bookman Old Style" w:hAnsi="Bookman Old Style"/>
                <w:sz w:val="22"/>
                <w:szCs w:val="22"/>
              </w:rPr>
              <w:t>17 de dezembro de 2021</w:t>
            </w:r>
          </w:p>
        </w:tc>
        <w:tc>
          <w:tcPr>
            <w:tcW w:w="7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Obs</w:t>
            </w:r>
            <w:proofErr w:type="spellEnd"/>
            <w:r w:rsidRPr="00124235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Pr="00FA2A04">
              <w:rPr>
                <w:rFonts w:ascii="Bookman Old Style" w:hAnsi="Bookman Old Style"/>
                <w:sz w:val="22"/>
                <w:szCs w:val="22"/>
              </w:rPr>
              <w:t xml:space="preserve"> As demais formações pedagógicas do ano serão definidas com a nova assessoria pedagógica, que serão realizadas durante todo o ano letivo, em horário contrário as aulas.</w:t>
            </w: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A2A04" w:rsidRPr="00FA2A04" w:rsidRDefault="00FA2A04" w:rsidP="00FA2A0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FA2A04" w:rsidRPr="00FA2A04" w:rsidRDefault="00FA2A04" w:rsidP="00FA2A04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FA2A04" w:rsidRPr="00FA2A04" w:rsidRDefault="00FA2A04" w:rsidP="00FA2A04">
      <w:pPr>
        <w:pStyle w:val="Standard"/>
        <w:jc w:val="center"/>
        <w:rPr>
          <w:rFonts w:ascii="Bookman Old Style" w:hAnsi="Bookman Old Style"/>
          <w:b/>
          <w:bCs/>
        </w:rPr>
      </w:pPr>
    </w:p>
    <w:p w:rsidR="009D76BE" w:rsidRPr="00FA2A04" w:rsidRDefault="009D76BE" w:rsidP="00FA2A04">
      <w:pPr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FA2A04" w:rsidSect="00860C95">
      <w:pgSz w:w="16838" w:h="11906" w:orient="landscape"/>
      <w:pgMar w:top="851" w:right="1418" w:bottom="170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00" w:rsidRDefault="00EA7800" w:rsidP="0048433F">
      <w:pPr>
        <w:spacing w:after="0" w:line="240" w:lineRule="auto"/>
      </w:pPr>
      <w:r>
        <w:separator/>
      </w:r>
    </w:p>
  </w:endnote>
  <w:endnote w:type="continuationSeparator" w:id="0">
    <w:p w:rsidR="00EA7800" w:rsidRDefault="00EA7800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00" w:rsidRPr="00016832" w:rsidRDefault="00EA7800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Pr="00EA7800">
      <w:rPr>
        <w:rFonts w:asciiTheme="majorHAnsi" w:hAnsiTheme="majorHAnsi"/>
        <w:b/>
        <w:noProof/>
      </w:rPr>
      <w:t>1</w:t>
    </w:r>
    <w:r w:rsidRPr="00016832">
      <w:rPr>
        <w:b/>
      </w:rPr>
      <w:fldChar w:fldCharType="end"/>
    </w:r>
  </w:p>
  <w:p w:rsidR="00EA7800" w:rsidRDefault="00EA78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00" w:rsidRDefault="00EA7800" w:rsidP="0048433F">
      <w:pPr>
        <w:spacing w:after="0" w:line="240" w:lineRule="auto"/>
      </w:pPr>
      <w:r>
        <w:separator/>
      </w:r>
    </w:p>
  </w:footnote>
  <w:footnote w:type="continuationSeparator" w:id="0">
    <w:p w:rsidR="00EA7800" w:rsidRDefault="00EA7800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3CCB"/>
    <w:rsid w:val="00016832"/>
    <w:rsid w:val="00035E56"/>
    <w:rsid w:val="00042775"/>
    <w:rsid w:val="00065816"/>
    <w:rsid w:val="000C5D8A"/>
    <w:rsid w:val="001126B2"/>
    <w:rsid w:val="00124235"/>
    <w:rsid w:val="001907B2"/>
    <w:rsid w:val="001B3CAD"/>
    <w:rsid w:val="001D6F40"/>
    <w:rsid w:val="001E5F3C"/>
    <w:rsid w:val="001E746D"/>
    <w:rsid w:val="002873E3"/>
    <w:rsid w:val="002A4D7E"/>
    <w:rsid w:val="002E2486"/>
    <w:rsid w:val="00327AEC"/>
    <w:rsid w:val="00343900"/>
    <w:rsid w:val="00344FCF"/>
    <w:rsid w:val="003D08B2"/>
    <w:rsid w:val="00432971"/>
    <w:rsid w:val="00434700"/>
    <w:rsid w:val="00482757"/>
    <w:rsid w:val="0048433F"/>
    <w:rsid w:val="00497B3C"/>
    <w:rsid w:val="004D0407"/>
    <w:rsid w:val="004E7D08"/>
    <w:rsid w:val="00536955"/>
    <w:rsid w:val="0055502D"/>
    <w:rsid w:val="00592B7C"/>
    <w:rsid w:val="00594F20"/>
    <w:rsid w:val="005B61FB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8460D0"/>
    <w:rsid w:val="00860C95"/>
    <w:rsid w:val="00867B14"/>
    <w:rsid w:val="008A1E8F"/>
    <w:rsid w:val="008D5498"/>
    <w:rsid w:val="008E16F3"/>
    <w:rsid w:val="008F0500"/>
    <w:rsid w:val="008F7C94"/>
    <w:rsid w:val="00975E70"/>
    <w:rsid w:val="009D76BE"/>
    <w:rsid w:val="009E7CFF"/>
    <w:rsid w:val="00A073A4"/>
    <w:rsid w:val="00A55EAE"/>
    <w:rsid w:val="00A75AF0"/>
    <w:rsid w:val="00AE77A5"/>
    <w:rsid w:val="00AF0F1A"/>
    <w:rsid w:val="00AF5E8A"/>
    <w:rsid w:val="00B40C87"/>
    <w:rsid w:val="00B432DE"/>
    <w:rsid w:val="00BB76C9"/>
    <w:rsid w:val="00BE4483"/>
    <w:rsid w:val="00C64AA8"/>
    <w:rsid w:val="00C8105F"/>
    <w:rsid w:val="00C84142"/>
    <w:rsid w:val="00CA71EC"/>
    <w:rsid w:val="00CB6184"/>
    <w:rsid w:val="00CE0652"/>
    <w:rsid w:val="00D138A3"/>
    <w:rsid w:val="00D35FC8"/>
    <w:rsid w:val="00DA5613"/>
    <w:rsid w:val="00DB1406"/>
    <w:rsid w:val="00DB408A"/>
    <w:rsid w:val="00DF011E"/>
    <w:rsid w:val="00E204CB"/>
    <w:rsid w:val="00E25E0F"/>
    <w:rsid w:val="00E43A99"/>
    <w:rsid w:val="00E5295F"/>
    <w:rsid w:val="00E73505"/>
    <w:rsid w:val="00E92F46"/>
    <w:rsid w:val="00EA7800"/>
    <w:rsid w:val="00EB4D54"/>
    <w:rsid w:val="00ED14E8"/>
    <w:rsid w:val="00EF0BBE"/>
    <w:rsid w:val="00F00C91"/>
    <w:rsid w:val="00F1045B"/>
    <w:rsid w:val="00F32C23"/>
    <w:rsid w:val="00FA2A04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56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6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me@paulobento.r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4645-87AF-4781-9E89-AE540776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12</cp:revision>
  <cp:lastPrinted>2021-02-03T18:14:00Z</cp:lastPrinted>
  <dcterms:created xsi:type="dcterms:W3CDTF">2020-11-13T11:57:00Z</dcterms:created>
  <dcterms:modified xsi:type="dcterms:W3CDTF">2021-02-03T19:57:00Z</dcterms:modified>
</cp:coreProperties>
</file>